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sz w:val="20"/>
          <w:szCs w:val="20"/>
        </w:rPr>
      </w:pPr>
      <w:r>
        <w:rPr>
          <w:rFonts w:cs="Arial" w:ascii="Verdana" w:hAnsi="Verdana"/>
          <w:b/>
          <w:bCs/>
          <w:color w:val="000000"/>
          <w:sz w:val="20"/>
          <w:szCs w:val="20"/>
          <w:u w:val="single"/>
        </w:rPr>
        <w:t xml:space="preserve">TERMO DE REFERÊNCIA  </w:t>
      </w:r>
    </w:p>
    <w:p>
      <w:pPr>
        <w:pStyle w:val="Normal"/>
        <w:spacing w:lineRule="auto" w:line="240"/>
        <w:jc w:val="center"/>
        <w:rPr>
          <w:rFonts w:ascii="Verdana" w:hAnsi="Verdana" w:cs="Arial"/>
          <w:b/>
          <w:bCs/>
          <w:color w:val="000000"/>
          <w:sz w:val="20"/>
          <w:szCs w:val="20"/>
          <w:u w:val="single"/>
        </w:rPr>
      </w:pPr>
      <w:r>
        <w:rPr>
          <w:rFonts w:cs="Arial" w:ascii="Verdana" w:hAnsi="Verdana"/>
          <w:b/>
          <w:bCs/>
          <w:color w:val="000000"/>
          <w:sz w:val="20"/>
          <w:szCs w:val="20"/>
          <w:u w:val="single"/>
        </w:rPr>
      </w:r>
    </w:p>
    <w:p>
      <w:pPr>
        <w:pStyle w:val="Normal"/>
        <w:spacing w:lineRule="auto" w:line="240"/>
        <w:jc w:val="center"/>
        <w:rPr>
          <w:sz w:val="20"/>
          <w:szCs w:val="20"/>
        </w:rPr>
      </w:pPr>
      <w:r>
        <w:rPr>
          <w:rFonts w:eastAsia="Times New Roman" w:cs="Times New Roman" w:ascii="Verdana" w:hAnsi="Verdana"/>
          <w:b/>
          <w:bCs/>
          <w:iCs/>
          <w:color w:val="000000"/>
          <w:kern w:val="0"/>
          <w:sz w:val="20"/>
          <w:szCs w:val="20"/>
          <w:u w:val="none"/>
          <w:lang w:val="pt-BR" w:eastAsia="pt-BR" w:bidi="ar-SA"/>
        </w:rPr>
        <w:t xml:space="preserve"> </w:t>
      </w:r>
      <w:r>
        <w:rPr>
          <w:rFonts w:eastAsia="Times New Roman" w:cs="Times New Roman" w:ascii="Verdana" w:hAnsi="Verdana"/>
          <w:b/>
          <w:bCs/>
          <w:iCs/>
          <w:color w:val="000000"/>
          <w:kern w:val="0"/>
          <w:sz w:val="20"/>
          <w:szCs w:val="20"/>
          <w:u w:val="none"/>
          <w:lang w:val="pt-BR" w:eastAsia="pt-BR" w:bidi="ar-SA"/>
        </w:rPr>
        <w:t>AQUISIÇÃO DE EQUIPAMENTOS PARA ATENDER AS ESCOLAS DA REDE MUNICIPAL DE ENSINO E A SECRETARIA MUNICIPAL DE EDUCAÇÃO</w:t>
      </w:r>
    </w:p>
    <w:p>
      <w:pPr>
        <w:pStyle w:val="Normal"/>
        <w:spacing w:lineRule="auto" w:line="240"/>
        <w:jc w:val="center"/>
        <w:rPr>
          <w:rFonts w:ascii="Verdana" w:hAnsi="Verdana" w:eastAsia="Times New Roman" w:cs="Times New Roman"/>
          <w:b/>
          <w:bCs/>
          <w:iCs/>
          <w:color w:val="000000"/>
          <w:kern w:val="0"/>
          <w:sz w:val="20"/>
          <w:szCs w:val="20"/>
          <w:u w:val="none"/>
          <w:lang w:val="pt-BR" w:eastAsia="pt-BR" w:bidi="ar-SA"/>
        </w:rPr>
      </w:pPr>
      <w:r>
        <w:rPr>
          <w:rFonts w:eastAsia="Times New Roman" w:cs="Times New Roman" w:ascii="Verdana" w:hAnsi="Verdana"/>
          <w:b/>
          <w:bCs/>
          <w:iCs/>
          <w:color w:val="000000"/>
          <w:kern w:val="0"/>
          <w:sz w:val="20"/>
          <w:szCs w:val="20"/>
          <w:u w:val="none"/>
          <w:lang w:val="pt-BR" w:eastAsia="pt-BR" w:bidi="ar-SA"/>
        </w:rPr>
      </w:r>
    </w:p>
    <w:p>
      <w:pPr>
        <w:pStyle w:val="Normal"/>
        <w:spacing w:lineRule="auto" w:line="240"/>
        <w:jc w:val="center"/>
        <w:rPr>
          <w:sz w:val="20"/>
          <w:szCs w:val="20"/>
        </w:rPr>
      </w:pPr>
      <w:r>
        <w:rPr>
          <w:rFonts w:cs="Arial" w:ascii="Verdana" w:hAnsi="Verdana"/>
          <w:b/>
          <w:bCs/>
          <w:iCs/>
          <w:color w:val="000000"/>
          <w:sz w:val="20"/>
          <w:szCs w:val="20"/>
        </w:rPr>
        <w:t xml:space="preserve">Processo Administrativo nº </w:t>
      </w:r>
      <w:r>
        <w:rPr>
          <w:rFonts w:eastAsia="Times New Roman" w:cs="Times New Roman" w:ascii="Verdana" w:hAnsi="Verdana"/>
          <w:b/>
          <w:bCs/>
          <w:iCs/>
          <w:color w:val="000000"/>
          <w:sz w:val="20"/>
          <w:szCs w:val="20"/>
        </w:rPr>
        <w:t>003996</w:t>
      </w:r>
      <w:r>
        <w:rPr>
          <w:rFonts w:cs="Arial" w:ascii="Verdana" w:hAnsi="Verdana"/>
          <w:b/>
          <w:bCs/>
          <w:iCs/>
          <w:color w:val="000000"/>
          <w:sz w:val="20"/>
          <w:szCs w:val="20"/>
        </w:rPr>
        <w:t>/2026 de 10 de junho de 2026 (</w:t>
      </w:r>
      <w:r>
        <w:rPr>
          <w:rFonts w:eastAsia="Times New Roman" w:cs="Arial" w:ascii="Verdana" w:hAnsi="Verdana"/>
          <w:b/>
          <w:bCs/>
          <w:iCs/>
          <w:color w:val="000000"/>
          <w:kern w:val="0"/>
          <w:sz w:val="20"/>
          <w:szCs w:val="20"/>
          <w:lang w:val="pt-BR" w:eastAsia="pt-BR" w:bidi="ar-SA"/>
        </w:rPr>
        <w:t>Secretaria Municipal de Educação</w:t>
      </w:r>
      <w:r>
        <w:rPr>
          <w:rFonts w:cs="Arial" w:ascii="Verdana" w:hAnsi="Verdana"/>
          <w:b/>
          <w:bCs/>
          <w:iCs/>
          <w:color w:val="000000"/>
          <w:sz w:val="20"/>
          <w:szCs w:val="20"/>
        </w:rPr>
        <w:t>)</w:t>
      </w:r>
    </w:p>
    <w:p>
      <w:pPr>
        <w:pStyle w:val="Normal"/>
        <w:spacing w:lineRule="auto" w:line="240"/>
        <w:jc w:val="center"/>
        <w:rPr>
          <w:rFonts w:ascii="Verdana" w:hAnsi="Verdana" w:cs="Arial"/>
          <w:b/>
          <w:bCs/>
          <w:iCs/>
          <w:color w:val="000000"/>
          <w:sz w:val="20"/>
          <w:szCs w:val="20"/>
        </w:rPr>
      </w:pPr>
      <w:r>
        <w:rPr>
          <w:rFonts w:cs="Arial" w:ascii="Verdana" w:hAnsi="Verdana"/>
          <w:b/>
          <w:bCs/>
          <w:iCs/>
          <w:color w:val="000000"/>
          <w:sz w:val="20"/>
          <w:szCs w:val="20"/>
        </w:rPr>
      </w:r>
    </w:p>
    <w:p>
      <w:pPr>
        <w:pStyle w:val="Normal"/>
        <w:spacing w:lineRule="auto" w:line="240"/>
        <w:ind w:hanging="0" w:left="0" w:right="0"/>
        <w:jc w:val="both"/>
        <w:rPr>
          <w:sz w:val="20"/>
          <w:szCs w:val="20"/>
        </w:rPr>
      </w:pPr>
      <w:r>
        <w:rPr>
          <w:rFonts w:ascii="Verdana" w:hAnsi="Verdana"/>
          <w:b/>
          <w:bCs/>
          <w:sz w:val="20"/>
          <w:szCs w:val="20"/>
        </w:rPr>
        <w:t xml:space="preserve">1. DAS CONDIÇÕES GERAIS DA CONTRATAÇÃO </w:t>
      </w:r>
    </w:p>
    <w:p>
      <w:pPr>
        <w:pStyle w:val="Normal"/>
        <w:tabs>
          <w:tab w:val="clear" w:pos="708"/>
          <w:tab w:val="left" w:pos="567" w:leader="none"/>
        </w:tabs>
        <w:spacing w:lineRule="auto" w:line="240"/>
        <w:ind w:hanging="0" w:right="0"/>
        <w:jc w:val="both"/>
        <w:rPr>
          <w:sz w:val="20"/>
          <w:szCs w:val="20"/>
        </w:rPr>
      </w:pPr>
      <w:r>
        <w:rPr>
          <w:rFonts w:ascii="Verdana" w:hAnsi="Verdana"/>
          <w:b w:val="false"/>
          <w:bCs w:val="false"/>
          <w:sz w:val="20"/>
          <w:szCs w:val="20"/>
        </w:rPr>
        <w:t>1.1. A</w:t>
      </w:r>
      <w:r>
        <w:rPr>
          <w:rFonts w:eastAsia="Times New Roman" w:cs="Arial" w:ascii="Verdana" w:hAnsi="Verdana"/>
          <w:bCs/>
          <w:iCs/>
          <w:sz w:val="20"/>
          <w:szCs w:val="20"/>
        </w:rPr>
        <w:t>quisição de equipamentos –</w:t>
      </w:r>
      <w:r>
        <w:rPr>
          <w:rFonts w:eastAsia="Times New Roman" w:cs="Arial" w:ascii="Verdana" w:hAnsi="Verdana"/>
          <w:b w:val="false"/>
          <w:bCs w:val="false"/>
          <w:iCs/>
          <w:sz w:val="20"/>
          <w:szCs w:val="20"/>
        </w:rPr>
        <w:t xml:space="preserve"> caixa de som portátil para premiação dos estudantes destaque da Rede Municipal de Ensino e tendas para atender a Secretaria de Educação e as escolas da rede municipal de ensino, </w:t>
      </w:r>
      <w:r>
        <w:rPr>
          <w:rFonts w:ascii="Verdana" w:hAnsi="Verdana"/>
          <w:b w:val="false"/>
          <w:bCs w:val="false"/>
          <w:iCs/>
          <w:sz w:val="20"/>
          <w:szCs w:val="20"/>
        </w:rPr>
        <w:t>nos termos da tabela abaixo, conforme condições e exigência</w:t>
      </w:r>
      <w:r>
        <w:rPr>
          <w:rFonts w:ascii="Verdana" w:hAnsi="Verdana"/>
          <w:iCs/>
          <w:sz w:val="20"/>
          <w:szCs w:val="20"/>
        </w:rPr>
        <w:t>s estabelecidas neste instrumento e no ETP.</w:t>
      </w:r>
    </w:p>
    <w:tbl>
      <w:tblPr>
        <w:tblW w:w="10083" w:type="dxa"/>
        <w:jc w:val="left"/>
        <w:tblInd w:w="-9" w:type="dxa"/>
        <w:tblLayout w:type="fixed"/>
        <w:tblCellMar>
          <w:top w:w="0" w:type="dxa"/>
          <w:left w:w="108" w:type="dxa"/>
          <w:bottom w:w="0" w:type="dxa"/>
          <w:right w:w="108" w:type="dxa"/>
        </w:tblCellMar>
      </w:tblPr>
      <w:tblGrid>
        <w:gridCol w:w="883"/>
        <w:gridCol w:w="3915"/>
        <w:gridCol w:w="850"/>
        <w:gridCol w:w="1117"/>
        <w:gridCol w:w="1503"/>
        <w:gridCol w:w="1814"/>
      </w:tblGrid>
      <w:tr>
        <w:trPr/>
        <w:tc>
          <w:tcPr>
            <w:tcW w:w="88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eastAsia="Times New Roman" w:cs="Times New Roman" w:ascii="Verdana" w:hAnsi="Verdana"/>
                <w:b/>
                <w:bCs/>
                <w:color w:val="auto"/>
                <w:kern w:val="0"/>
                <w:sz w:val="20"/>
                <w:szCs w:val="20"/>
                <w:lang w:val="pt-BR" w:eastAsia="pt-BR" w:bidi="ar-SA"/>
              </w:rPr>
              <w:t>Item</w:t>
            </w:r>
          </w:p>
        </w:tc>
        <w:tc>
          <w:tcPr>
            <w:tcW w:w="39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Especificação</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Und.</w:t>
            </w:r>
          </w:p>
        </w:tc>
        <w:tc>
          <w:tcPr>
            <w:tcW w:w="111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Quant.</w:t>
            </w:r>
          </w:p>
        </w:tc>
        <w:tc>
          <w:tcPr>
            <w:tcW w:w="150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Valor estimado unitário</w:t>
            </w:r>
          </w:p>
        </w:tc>
        <w:tc>
          <w:tcPr>
            <w:tcW w:w="181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Valor estimado total</w:t>
            </w:r>
          </w:p>
        </w:tc>
      </w:tr>
      <w:tr>
        <w:trPr/>
        <w:tc>
          <w:tcPr>
            <w:tcW w:w="88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val="false"/>
                <w:bCs w:val="false"/>
                <w:i w:val="false"/>
                <w:iCs w:val="false"/>
                <w:sz w:val="20"/>
                <w:szCs w:val="20"/>
              </w:rPr>
              <w:t>01</w:t>
            </w:r>
          </w:p>
        </w:tc>
        <w:tc>
          <w:tcPr>
            <w:tcW w:w="3915"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sz w:val="20"/>
                <w:szCs w:val="20"/>
              </w:rPr>
            </w:pPr>
            <w:r>
              <w:rPr>
                <w:rFonts w:ascii="Verdana" w:hAnsi="Verdana"/>
                <w:b w:val="false"/>
                <w:bCs w:val="false"/>
                <w:sz w:val="20"/>
                <w:szCs w:val="20"/>
              </w:rPr>
              <w:t>TENDA 3X3M SANFONADA com Proteção Solar FPS 100 Barraca de Praia Camping Pesca Eventos Acampamento Grande Resistente Reforçado Articulado Bolsa de Transporte Fácil Montagem.</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both"/>
              <w:rPr>
                <w:sz w:val="20"/>
                <w:szCs w:val="20"/>
              </w:rPr>
            </w:pPr>
            <w:r>
              <w:rPr>
                <w:rFonts w:ascii="Verdana" w:hAnsi="Verdana"/>
                <w:b w:val="false"/>
                <w:bCs w:val="false"/>
                <w:color w:val="000000"/>
                <w:sz w:val="20"/>
                <w:szCs w:val="20"/>
              </w:rPr>
              <w:t>und</w:t>
            </w:r>
          </w:p>
        </w:tc>
        <w:tc>
          <w:tcPr>
            <w:tcW w:w="11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both"/>
              <w:rPr>
                <w:sz w:val="20"/>
                <w:szCs w:val="20"/>
              </w:rPr>
            </w:pPr>
            <w:r>
              <w:rPr>
                <w:rFonts w:ascii="Verdana" w:hAnsi="Verdana"/>
                <w:b w:val="false"/>
                <w:bCs w:val="false"/>
                <w:sz w:val="20"/>
                <w:szCs w:val="20"/>
              </w:rPr>
              <w:t>60</w:t>
            </w:r>
          </w:p>
        </w:tc>
        <w:tc>
          <w:tcPr>
            <w:tcW w:w="15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both"/>
              <w:rPr>
                <w:sz w:val="20"/>
                <w:szCs w:val="20"/>
              </w:rPr>
            </w:pPr>
            <w:r>
              <w:rPr>
                <w:rFonts w:ascii="Verdana" w:hAnsi="Verdana"/>
                <w:b w:val="false"/>
                <w:bCs w:val="false"/>
                <w:color w:val="000000"/>
                <w:sz w:val="20"/>
                <w:szCs w:val="20"/>
              </w:rPr>
              <w:t>R$ 1.200,00</w:t>
            </w:r>
          </w:p>
        </w:tc>
        <w:tc>
          <w:tcPr>
            <w:tcW w:w="18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both"/>
              <w:rPr>
                <w:sz w:val="20"/>
                <w:szCs w:val="20"/>
              </w:rPr>
            </w:pPr>
            <w:r>
              <w:rPr>
                <w:rFonts w:ascii="Verdana" w:hAnsi="Verdana"/>
                <w:b w:val="false"/>
                <w:bCs w:val="false"/>
                <w:color w:val="000000"/>
                <w:sz w:val="20"/>
                <w:szCs w:val="20"/>
              </w:rPr>
              <w:t>R$ 72.000,00</w:t>
            </w:r>
          </w:p>
        </w:tc>
      </w:tr>
      <w:tr>
        <w:trPr/>
        <w:tc>
          <w:tcPr>
            <w:tcW w:w="883" w:type="dxa"/>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val="false"/>
                <w:bCs w:val="false"/>
                <w:i w:val="false"/>
                <w:iCs w:val="false"/>
                <w:sz w:val="20"/>
                <w:szCs w:val="20"/>
              </w:rPr>
              <w:t>02</w:t>
            </w:r>
          </w:p>
        </w:tc>
        <w:tc>
          <w:tcPr>
            <w:tcW w:w="3915" w:type="dxa"/>
            <w:tcBorders>
              <w:left w:val="single" w:sz="4" w:space="0" w:color="000000"/>
              <w:bottom w:val="single" w:sz="4" w:space="0" w:color="000000"/>
              <w:right w:val="single" w:sz="4" w:space="0" w:color="000000"/>
            </w:tcBorders>
          </w:tcPr>
          <w:p>
            <w:pPr>
              <w:pStyle w:val="Normal"/>
              <w:spacing w:lineRule="auto" w:line="240"/>
              <w:jc w:val="both"/>
              <w:rPr>
                <w:sz w:val="20"/>
                <w:szCs w:val="20"/>
              </w:rPr>
            </w:pPr>
            <w:r>
              <w:rPr>
                <w:rFonts w:ascii="Verdana" w:hAnsi="Verdana"/>
                <w:b w:val="false"/>
                <w:bCs w:val="false"/>
                <w:sz w:val="20"/>
                <w:szCs w:val="20"/>
              </w:rPr>
              <w:t>CAIXA DE SOM PORTÁTIL</w:t>
            </w:r>
          </w:p>
          <w:p>
            <w:pPr>
              <w:pStyle w:val="Normal"/>
              <w:spacing w:lineRule="auto" w:line="240"/>
              <w:jc w:val="both"/>
              <w:rPr>
                <w:sz w:val="20"/>
                <w:szCs w:val="20"/>
              </w:rPr>
            </w:pPr>
            <w:r>
              <w:rPr>
                <w:rFonts w:ascii="Verdana" w:hAnsi="Verdana"/>
                <w:b w:val="false"/>
                <w:bCs w:val="false"/>
                <w:sz w:val="20"/>
                <w:szCs w:val="20"/>
              </w:rPr>
              <w:t>Dimensões: Aproximadamente entre 10cm e 18cm (Comprimento).</w:t>
            </w:r>
          </w:p>
          <w:p>
            <w:pPr>
              <w:pStyle w:val="Normal"/>
              <w:spacing w:lineRule="auto" w:line="240"/>
              <w:jc w:val="both"/>
              <w:rPr>
                <w:sz w:val="20"/>
                <w:szCs w:val="20"/>
              </w:rPr>
            </w:pPr>
            <w:r>
              <w:rPr>
                <w:rFonts w:ascii="Verdana" w:hAnsi="Verdana"/>
                <w:b w:val="false"/>
                <w:bCs w:val="false"/>
                <w:sz w:val="20"/>
                <w:szCs w:val="20"/>
              </w:rPr>
              <w:t>Conectividade: Bluetooth 5.0 ou superior (conexão rápida e sem interrupções com smartphones, tablets e PCs).</w:t>
            </w:r>
          </w:p>
          <w:p>
            <w:pPr>
              <w:pStyle w:val="Normal"/>
              <w:spacing w:lineRule="auto" w:line="240"/>
              <w:jc w:val="both"/>
              <w:rPr>
                <w:sz w:val="20"/>
                <w:szCs w:val="20"/>
              </w:rPr>
            </w:pPr>
            <w:r>
              <w:rPr>
                <w:rFonts w:ascii="Verdana" w:hAnsi="Verdana"/>
                <w:b w:val="false"/>
                <w:bCs w:val="false"/>
                <w:sz w:val="20"/>
                <w:szCs w:val="20"/>
              </w:rPr>
              <w:t>Potência Estimada: 10W a 20W RMS</w:t>
            </w:r>
          </w:p>
          <w:p>
            <w:pPr>
              <w:pStyle w:val="Normal"/>
              <w:spacing w:lineRule="auto" w:line="240"/>
              <w:jc w:val="both"/>
              <w:rPr>
                <w:sz w:val="20"/>
                <w:szCs w:val="20"/>
              </w:rPr>
            </w:pPr>
            <w:r>
              <w:rPr>
                <w:rFonts w:ascii="Verdana" w:hAnsi="Verdana"/>
                <w:b w:val="false"/>
                <w:bCs w:val="false"/>
                <w:sz w:val="20"/>
                <w:szCs w:val="20"/>
              </w:rPr>
              <w:t>Bateria: (autonomia média de 4 a 8 horas de reprodução contínua, variando conforme o volume).</w:t>
            </w:r>
          </w:p>
          <w:p>
            <w:pPr>
              <w:pStyle w:val="Normal"/>
              <w:spacing w:lineRule="auto" w:line="240"/>
              <w:jc w:val="both"/>
              <w:rPr>
                <w:sz w:val="20"/>
                <w:szCs w:val="20"/>
              </w:rPr>
            </w:pPr>
            <w:r>
              <w:rPr>
                <w:rFonts w:ascii="Verdana" w:hAnsi="Verdana"/>
                <w:b w:val="false"/>
                <w:bCs w:val="false"/>
                <w:sz w:val="20"/>
                <w:szCs w:val="20"/>
              </w:rPr>
              <w:t>Tempo de Carga: Cerca de 2,5 a 3 horas via cabo USB-C.</w:t>
            </w:r>
          </w:p>
          <w:p>
            <w:pPr>
              <w:pStyle w:val="Normal"/>
              <w:tabs>
                <w:tab w:val="clear" w:pos="708"/>
                <w:tab w:val="left" w:pos="720" w:leader="none"/>
              </w:tabs>
              <w:spacing w:lineRule="auto" w:line="240"/>
              <w:jc w:val="both"/>
              <w:rPr>
                <w:sz w:val="20"/>
                <w:szCs w:val="20"/>
              </w:rPr>
            </w:pPr>
            <w:r>
              <w:rPr>
                <w:rFonts w:ascii="Verdana" w:hAnsi="Verdana"/>
                <w:b w:val="false"/>
                <w:bCs w:val="false"/>
                <w:sz w:val="20"/>
                <w:szCs w:val="20"/>
              </w:rPr>
              <w:t>Entradas Suportadas: Porta USB (para pen drive). Slot para Cartão Micro SD. Entrada Auxiliar P2 (3.5mm)</w:t>
            </w:r>
          </w:p>
          <w:p>
            <w:pPr>
              <w:pStyle w:val="Normal"/>
              <w:tabs>
                <w:tab w:val="clear" w:pos="708"/>
                <w:tab w:val="left" w:pos="720" w:leader="none"/>
              </w:tabs>
              <w:spacing w:lineRule="auto" w:line="240"/>
              <w:jc w:val="both"/>
              <w:rPr>
                <w:sz w:val="20"/>
                <w:szCs w:val="20"/>
              </w:rPr>
            </w:pPr>
            <w:r>
              <w:rPr>
                <w:rFonts w:ascii="Verdana" w:hAnsi="Verdana"/>
                <w:b w:val="false"/>
                <w:bCs w:val="false"/>
                <w:sz w:val="20"/>
                <w:szCs w:val="20"/>
              </w:rPr>
              <w:t>Proteção contra água: Resistência a respingos (IPX4 ou IPX5) — ideal para uso perto da piscina ou chuveiro (não recomendável submergir).</w:t>
            </w:r>
          </w:p>
        </w:tc>
        <w:tc>
          <w:tcPr>
            <w:tcW w:w="850"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sz w:val="20"/>
                <w:szCs w:val="20"/>
              </w:rPr>
            </w:pPr>
            <w:r>
              <w:rPr>
                <w:rFonts w:ascii="Verdana" w:hAnsi="Verdana"/>
                <w:b w:val="false"/>
                <w:bCs w:val="false"/>
                <w:color w:val="000000"/>
                <w:sz w:val="20"/>
                <w:szCs w:val="20"/>
              </w:rPr>
              <w:t>und</w:t>
            </w:r>
          </w:p>
        </w:tc>
        <w:tc>
          <w:tcPr>
            <w:tcW w:w="1117"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sz w:val="20"/>
                <w:szCs w:val="20"/>
              </w:rPr>
            </w:pPr>
            <w:r>
              <w:rPr>
                <w:rFonts w:ascii="Verdana" w:hAnsi="Verdana"/>
                <w:b w:val="false"/>
                <w:bCs w:val="false"/>
                <w:sz w:val="20"/>
                <w:szCs w:val="20"/>
              </w:rPr>
              <w:t>90</w:t>
            </w:r>
          </w:p>
        </w:tc>
        <w:tc>
          <w:tcPr>
            <w:tcW w:w="1503"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sz w:val="20"/>
                <w:szCs w:val="20"/>
              </w:rPr>
            </w:pPr>
            <w:r>
              <w:rPr>
                <w:rFonts w:ascii="Verdana" w:hAnsi="Verdana"/>
                <w:b w:val="false"/>
                <w:bCs w:val="false"/>
                <w:color w:val="000000"/>
                <w:sz w:val="20"/>
                <w:szCs w:val="20"/>
              </w:rPr>
              <w:t>R$ 200,00</w:t>
            </w:r>
          </w:p>
        </w:tc>
        <w:tc>
          <w:tcPr>
            <w:tcW w:w="1814"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both"/>
              <w:rPr>
                <w:sz w:val="20"/>
                <w:szCs w:val="20"/>
              </w:rPr>
            </w:pPr>
            <w:r>
              <w:rPr>
                <w:rFonts w:ascii="Verdana" w:hAnsi="Verdana"/>
                <w:b w:val="false"/>
                <w:bCs w:val="false"/>
                <w:color w:val="000000"/>
                <w:sz w:val="20"/>
                <w:szCs w:val="20"/>
              </w:rPr>
              <w:t>R$ 18.000,00</w:t>
            </w:r>
          </w:p>
        </w:tc>
      </w:tr>
      <w:tr>
        <w:trPr>
          <w:trHeight w:val="1024" w:hRule="atLeast"/>
        </w:trPr>
        <w:tc>
          <w:tcPr>
            <w:tcW w:w="10082" w:type="dxa"/>
            <w:gridSpan w:val="6"/>
            <w:tcBorders>
              <w:left w:val="single" w:sz="4" w:space="0" w:color="000000"/>
              <w:bottom w:val="single" w:sz="4" w:space="0" w:color="000000"/>
              <w:right w:val="single" w:sz="4" w:space="0" w:color="000000"/>
            </w:tcBorders>
          </w:tcPr>
          <w:p>
            <w:pPr>
              <w:pStyle w:val="Normal"/>
              <w:widowControl w:val="false"/>
              <w:spacing w:lineRule="auto" w:line="240"/>
              <w:jc w:val="both"/>
              <w:rPr>
                <w:rFonts w:ascii="Verdana" w:hAnsi="Verdana"/>
                <w:b w:val="false"/>
                <w:bCs w:val="false"/>
                <w:color w:val="000000"/>
                <w:sz w:val="20"/>
                <w:szCs w:val="20"/>
              </w:rPr>
            </w:pPr>
            <w:r>
              <w:rPr>
                <w:rFonts w:ascii="Verdana" w:hAnsi="Verdana"/>
                <w:b w:val="false"/>
                <w:bCs w:val="false"/>
                <w:color w:val="000000"/>
                <w:sz w:val="20"/>
                <w:szCs w:val="20"/>
              </w:rPr>
            </w:r>
          </w:p>
          <w:p>
            <w:pPr>
              <w:pStyle w:val="Heading4"/>
              <w:numPr>
                <w:ilvl w:val="3"/>
                <w:numId w:val="1"/>
              </w:numPr>
              <w:spacing w:lineRule="auto" w:line="240" w:before="120" w:after="120"/>
              <w:ind w:hanging="0" w:left="0"/>
              <w:rPr>
                <w:sz w:val="20"/>
                <w:szCs w:val="20"/>
              </w:rPr>
            </w:pPr>
            <w:r>
              <w:rPr>
                <w:rFonts w:ascii="Verdana" w:hAnsi="Verdana"/>
                <w:b w:val="false"/>
                <w:bCs w:val="false"/>
                <w:i w:val="false"/>
                <w:iCs w:val="false"/>
                <w:sz w:val="20"/>
                <w:szCs w:val="20"/>
              </w:rPr>
              <w:t>VALOR TOTAL ESTIMADO: R$ 90.000,00 (noventa mil reais)</w:t>
            </w:r>
          </w:p>
        </w:tc>
      </w:tr>
    </w:tbl>
    <w:p>
      <w:pPr>
        <w:pStyle w:val="Normal"/>
        <w:spacing w:lineRule="auto" w:line="240"/>
        <w:jc w:val="both"/>
        <w:rPr>
          <w:sz w:val="20"/>
          <w:szCs w:val="20"/>
        </w:rPr>
      </w:pPr>
      <w:r>
        <w:rPr>
          <w:rFonts w:cs="Arial" w:ascii="Verdana" w:hAnsi="Verdana"/>
          <w:sz w:val="20"/>
          <w:szCs w:val="20"/>
        </w:rPr>
        <w:t xml:space="preserve">1.2. </w:t>
      </w:r>
      <w:r>
        <w:rPr>
          <w:rFonts w:cs="Arial" w:ascii="Verdana" w:hAnsi="Verdana"/>
          <w:iCs/>
          <w:sz w:val="20"/>
          <w:szCs w:val="20"/>
        </w:rPr>
        <w:t>Os objetos desta aquisição não se enquadram como sendo de bens de luxo, conforme Decreto nº 10.818, de 2021.</w:t>
      </w:r>
    </w:p>
    <w:p>
      <w:pPr>
        <w:pStyle w:val="ListParagraph"/>
        <w:suppressAutoHyphens w:val="false"/>
        <w:spacing w:lineRule="auto" w:line="240"/>
        <w:ind w:hanging="0" w:left="-22" w:right="0"/>
        <w:jc w:val="both"/>
        <w:rPr>
          <w:sz w:val="20"/>
          <w:szCs w:val="20"/>
        </w:rPr>
      </w:pPr>
      <w:r>
        <w:rPr>
          <w:rFonts w:ascii="Verdana" w:hAnsi="Verdana"/>
          <w:b w:val="false"/>
          <w:bCs w:val="false"/>
          <w:iCs/>
          <w:sz w:val="20"/>
          <w:szCs w:val="20"/>
        </w:rPr>
        <w:t>1.3</w:t>
      </w:r>
      <w:r>
        <w:rPr>
          <w:rFonts w:ascii="Verdana" w:hAnsi="Verdana"/>
          <w:iCs/>
          <w:sz w:val="20"/>
          <w:szCs w:val="20"/>
        </w:rPr>
        <w:t xml:space="preserve">. </w:t>
      </w:r>
      <w:r>
        <w:rPr>
          <w:rFonts w:ascii="Verdana" w:hAnsi="Verdana"/>
          <w:sz w:val="20"/>
          <w:szCs w:val="20"/>
        </w:rPr>
        <w:t xml:space="preserve">O prazo de vigência da aquisição será de 60 (sessenta) </w:t>
      </w:r>
      <w:r>
        <w:rPr>
          <w:rFonts w:eastAsia="Times New Roman" w:cs="Times New Roman" w:ascii="Verdana" w:hAnsi="Verdana"/>
          <w:sz w:val="20"/>
          <w:szCs w:val="20"/>
        </w:rPr>
        <w:t>dias</w:t>
      </w:r>
      <w:r>
        <w:rPr>
          <w:rFonts w:ascii="Verdana" w:hAnsi="Verdana"/>
          <w:sz w:val="20"/>
          <w:szCs w:val="20"/>
        </w:rPr>
        <w:t>, com entrega única em até 45 (quarenta e cinco) dias contados da confirmação de recebimento da autorização de fornecimento emitida pelo Departamento de Compras e Contratos.</w:t>
      </w:r>
    </w:p>
    <w:p>
      <w:pPr>
        <w:pStyle w:val="Normal"/>
        <w:spacing w:lineRule="auto" w:line="240"/>
        <w:jc w:val="both"/>
        <w:rPr>
          <w:sz w:val="20"/>
          <w:szCs w:val="20"/>
        </w:rPr>
      </w:pPr>
      <w:r>
        <w:rPr>
          <w:rFonts w:eastAsia="SimSun" w:cs="Arial" w:ascii="Verdana" w:hAnsi="Verdana"/>
          <w:b w:val="false"/>
          <w:bCs w:val="false"/>
          <w:i w:val="false"/>
          <w:iCs w:val="false"/>
          <w:sz w:val="20"/>
          <w:szCs w:val="20"/>
          <w:u w:val="none"/>
          <w:shd w:fill="auto" w:val="clear"/>
          <w:lang w:val="pt-BR"/>
        </w:rPr>
        <w:t>1.4. O custo estimado total da contratação é de</w:t>
      </w:r>
      <w:r>
        <w:rPr>
          <w:rFonts w:eastAsia="Times New Roman" w:cs="Times New Roman" w:ascii="Verdana" w:hAnsi="Verdana"/>
          <w:b w:val="false"/>
          <w:bCs w:val="false"/>
          <w:i w:val="false"/>
          <w:iCs w:val="false"/>
          <w:color w:val="000000"/>
          <w:sz w:val="20"/>
          <w:szCs w:val="20"/>
          <w:u w:val="none"/>
          <w:shd w:fill="auto" w:val="clear"/>
          <w:lang w:val="pt-BR" w:eastAsia="en-US"/>
        </w:rPr>
        <w:t xml:space="preserve"> R$ </w:t>
      </w:r>
      <w:r>
        <w:rPr>
          <w:rFonts w:eastAsia="Times New Roman" w:cs="Times New Roman" w:ascii="Verdana" w:hAnsi="Verdana"/>
          <w:b w:val="false"/>
          <w:bCs w:val="false"/>
          <w:i w:val="false"/>
          <w:iCs w:val="false"/>
          <w:color w:val="000000"/>
          <w:kern w:val="0"/>
          <w:sz w:val="20"/>
          <w:szCs w:val="20"/>
          <w:u w:val="none"/>
          <w:shd w:fill="auto" w:val="clear"/>
          <w:lang w:val="pt-BR" w:eastAsia="pt-BR" w:bidi="ar-SA"/>
        </w:rPr>
        <w:t>90.000,00 (noventa mil reais)</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t xml:space="preserve"> </w:t>
      </w:r>
      <w:r>
        <w:rPr>
          <w:rFonts w:eastAsia="SimSun" w:cs="Arial" w:ascii="Verdana" w:hAnsi="Verdana"/>
          <w:b w:val="false"/>
          <w:bCs w:val="false"/>
          <w:i w:val="false"/>
          <w:iCs w:val="false"/>
          <w:sz w:val="20"/>
          <w:szCs w:val="20"/>
          <w:u w:val="none"/>
          <w:shd w:fill="auto" w:val="clear"/>
          <w:lang w:val="pt-BR"/>
        </w:rPr>
        <w:t>conforme custos unitários apostos nos orçamentos e no quadro comparativo de preços simples em anexo.</w:t>
      </w:r>
    </w:p>
    <w:p>
      <w:pPr>
        <w:pStyle w:val="Normal"/>
        <w:tabs>
          <w:tab w:val="clear" w:pos="708"/>
          <w:tab w:val="left" w:pos="567" w:leader="none"/>
        </w:tabs>
        <w:spacing w:lineRule="auto" w:line="240"/>
        <w:ind w:hanging="0" w:left="432" w:right="0"/>
        <w:jc w:val="both"/>
        <w:rPr>
          <w:rFonts w:ascii="Verdana" w:hAnsi="Verdana"/>
          <w:sz w:val="20"/>
          <w:szCs w:val="20"/>
        </w:rPr>
      </w:pPr>
      <w:r>
        <w:rPr>
          <w:rFonts w:ascii="Verdana" w:hAnsi="Verdana"/>
          <w:sz w:val="20"/>
          <w:szCs w:val="20"/>
        </w:rPr>
      </w:r>
    </w:p>
    <w:p>
      <w:pPr>
        <w:pStyle w:val="Normal"/>
        <w:spacing w:lineRule="auto" w:line="240"/>
        <w:ind w:hanging="0" w:left="0" w:right="0"/>
        <w:jc w:val="both"/>
        <w:rPr>
          <w:sz w:val="20"/>
          <w:szCs w:val="20"/>
        </w:rPr>
      </w:pPr>
      <w:r>
        <w:rPr>
          <w:rFonts w:ascii="Verdana" w:hAnsi="Verdana"/>
          <w:b/>
          <w:bCs/>
          <w:sz w:val="20"/>
          <w:szCs w:val="20"/>
        </w:rPr>
        <w:t>2. DESCRIÇÃO DA NECESSIDADE DA CONTRATAÇÃO</w:t>
      </w:r>
    </w:p>
    <w:p>
      <w:pPr>
        <w:pStyle w:val="normal2"/>
        <w:keepNext w:val="false"/>
        <w:keepLines w:val="false"/>
        <w:pageBreakBefore w:val="false"/>
        <w:widowControl w:val="false"/>
        <w:tabs>
          <w:tab w:val="clear" w:pos="708"/>
          <w:tab w:val="left" w:pos="-2410" w:leader="none"/>
          <w:tab w:val="left" w:pos="567" w:leader="none"/>
        </w:tabs>
        <w:spacing w:lineRule="auto" w:line="240" w:before="0" w:after="0"/>
        <w:ind w:hanging="0" w:left="0" w:right="0"/>
        <w:jc w:val="both"/>
        <w:rPr>
          <w:sz w:val="20"/>
          <w:szCs w:val="20"/>
        </w:rPr>
      </w:pPr>
      <w:r>
        <w:rPr>
          <w:rFonts w:eastAsia="Times New Roman" w:cs="Times New Roman" w:ascii="Verdana" w:hAnsi="Verdana"/>
          <w:b w:val="false"/>
          <w:bCs w:val="false"/>
          <w:i w:val="false"/>
          <w:iCs w:val="false"/>
          <w:caps w:val="false"/>
          <w:smallCaps w:val="false"/>
          <w:strike w:val="false"/>
          <w:dstrike w:val="false"/>
          <w:color w:val="000000"/>
          <w:position w:val="0"/>
          <w:sz w:val="20"/>
          <w:sz w:val="20"/>
          <w:szCs w:val="20"/>
          <w:u w:val="none"/>
          <w:shd w:fill="auto" w:val="clear"/>
          <w:vertAlign w:val="baseline"/>
        </w:rPr>
        <w:t>2.1.</w:t>
      </w:r>
      <w:r>
        <w:rPr>
          <w:rFonts w:ascii="Verdana" w:hAnsi="Verdana"/>
          <w:b w:val="false"/>
          <w:bCs w:val="false"/>
          <w:i w:val="false"/>
          <w:iCs w:val="false"/>
          <w:caps w:val="false"/>
          <w:smallCaps w:val="false"/>
          <w:strike w:val="false"/>
          <w:dstrike w:val="false"/>
          <w:color w:val="000000"/>
          <w:position w:val="0"/>
          <w:sz w:val="20"/>
          <w:sz w:val="20"/>
          <w:szCs w:val="20"/>
          <w:u w:val="none"/>
          <w:shd w:fill="auto" w:val="clear"/>
          <w:vertAlign w:val="baseline"/>
        </w:rPr>
        <w:t xml:space="preserve"> Aquisição de caixas de som portátil e tendas.</w:t>
      </w:r>
    </w:p>
    <w:p>
      <w:pPr>
        <w:pStyle w:val="Normal"/>
        <w:spacing w:lineRule="auto" w:line="240"/>
        <w:jc w:val="both"/>
        <w:rPr>
          <w:sz w:val="20"/>
          <w:szCs w:val="20"/>
        </w:rPr>
      </w:pPr>
      <w:r>
        <w:rPr>
          <w:rFonts w:ascii="Verdana" w:hAnsi="Verdana"/>
          <w:b w:val="false"/>
          <w:bCs w:val="false"/>
          <w:sz w:val="20"/>
          <w:szCs w:val="20"/>
          <w:u w:val="none"/>
        </w:rPr>
        <w:t>2.2. Considerando a necessidade de atendermos a Secretaria Municipal de Educação e as escolas municipais com áreas de sombra e abrigo contra sol excessivo ou chuva em feiras de ciências, campeonatos escolares, desfiles cívicos e atividades recreativas nos pátios das escolas.</w:t>
      </w:r>
    </w:p>
    <w:p>
      <w:pPr>
        <w:pStyle w:val="Normal"/>
        <w:spacing w:lineRule="auto" w:line="240"/>
        <w:jc w:val="both"/>
        <w:rPr>
          <w:sz w:val="20"/>
          <w:szCs w:val="20"/>
        </w:rPr>
      </w:pPr>
      <w:r>
        <w:rPr>
          <w:rFonts w:ascii="Verdana" w:hAnsi="Verdana"/>
          <w:b w:val="false"/>
          <w:bCs w:val="false"/>
          <w:sz w:val="20"/>
          <w:szCs w:val="20"/>
          <w:u w:val="none"/>
        </w:rPr>
        <w:t>2.3. Considerando que é responsabilidade da Secretaria Municipal de Educação dar suporte e equipar as escolas a fim de oferecer subsídios para um bom atendimento aos alunos e funcionários.</w:t>
      </w:r>
    </w:p>
    <w:p>
      <w:pPr>
        <w:pStyle w:val="Normal"/>
        <w:spacing w:lineRule="auto" w:line="240"/>
        <w:jc w:val="both"/>
        <w:rPr>
          <w:sz w:val="20"/>
          <w:szCs w:val="20"/>
        </w:rPr>
      </w:pPr>
      <w:r>
        <w:rPr>
          <w:rFonts w:ascii="Verdana" w:hAnsi="Verdana"/>
          <w:b w:val="false"/>
          <w:bCs w:val="false"/>
          <w:sz w:val="20"/>
          <w:szCs w:val="20"/>
          <w:u w:val="none"/>
        </w:rPr>
        <w:t xml:space="preserve">2.4. Considerando a importância das avaliações externas para diagnosticar a qualidade da educação, medir competências dos alunos e guiar políticas públicas para a melhoria do ensino. </w:t>
      </w:r>
    </w:p>
    <w:p>
      <w:pPr>
        <w:pStyle w:val="normal2"/>
        <w:widowControl w:val="false"/>
        <w:tabs>
          <w:tab w:val="clear" w:pos="708"/>
          <w:tab w:val="left" w:pos="-2410" w:leader="none"/>
          <w:tab w:val="left" w:pos="567" w:leader="none"/>
        </w:tabs>
        <w:spacing w:lineRule="auto" w:line="240" w:before="0" w:after="0"/>
        <w:ind w:hanging="0" w:left="0" w:right="0"/>
        <w:jc w:val="both"/>
        <w:rPr>
          <w:sz w:val="20"/>
          <w:szCs w:val="20"/>
        </w:rPr>
      </w:pPr>
      <w:r>
        <w:rPr>
          <w:rFonts w:ascii="Verdana" w:hAnsi="Verdana"/>
          <w:b w:val="false"/>
          <w:bCs w:val="false"/>
          <w:i w:val="false"/>
          <w:iCs w:val="false"/>
          <w:caps w:val="false"/>
          <w:smallCaps w:val="false"/>
          <w:strike w:val="false"/>
          <w:dstrike w:val="false"/>
          <w:color w:val="000000"/>
          <w:sz w:val="20"/>
          <w:szCs w:val="20"/>
          <w:u w:val="none"/>
          <w:shd w:fill="auto" w:val="clear"/>
        </w:rPr>
        <w:t>2.5. Considerando que a Secretaria de Educação realiza o Evento de Premiação anual dos estudantes destaques nas avaliações de desempenho estudantil do Inep/MEC tais como (Saeb (Sistema de Avaliação da Educação Básica, PAEBES), e a premiação escolar é uma estratégia eficaz para engajar estudantes, validando a superação (evolução pessoal);</w:t>
      </w:r>
    </w:p>
    <w:p>
      <w:pPr>
        <w:pStyle w:val="normal2"/>
        <w:widowControl w:val="false"/>
        <w:tabs>
          <w:tab w:val="clear" w:pos="708"/>
          <w:tab w:val="left" w:pos="-2410" w:leader="none"/>
          <w:tab w:val="left" w:pos="567" w:leader="none"/>
        </w:tabs>
        <w:spacing w:lineRule="auto" w:line="240" w:before="0" w:after="0"/>
        <w:ind w:hanging="0" w:left="0" w:right="0"/>
        <w:jc w:val="both"/>
        <w:rPr>
          <w:rFonts w:ascii="Verdana" w:hAnsi="Verdana"/>
          <w:b w:val="false"/>
          <w:bCs w:val="false"/>
          <w:i w:val="false"/>
          <w:i w:val="false"/>
          <w:iCs w:val="false"/>
          <w:caps w:val="false"/>
          <w:smallCaps w:val="false"/>
          <w:strike w:val="false"/>
          <w:dstrike w:val="false"/>
          <w:color w:val="000000"/>
          <w:sz w:val="20"/>
          <w:szCs w:val="20"/>
          <w:u w:val="none"/>
          <w:shd w:fill="auto" w:val="clear"/>
        </w:rPr>
      </w:pPr>
      <w:r>
        <w:rPr>
          <w:rFonts w:ascii="Verdana" w:hAnsi="Verdana"/>
          <w:b w:val="false"/>
          <w:bCs w:val="false"/>
          <w:i w:val="false"/>
          <w:iCs w:val="false"/>
          <w:caps w:val="false"/>
          <w:smallCaps w:val="false"/>
          <w:strike w:val="false"/>
          <w:dstrike w:val="false"/>
          <w:color w:val="000000"/>
          <w:sz w:val="20"/>
          <w:szCs w:val="20"/>
          <w:u w:val="none"/>
          <w:shd w:fill="auto" w:val="clear"/>
        </w:rPr>
      </w:r>
    </w:p>
    <w:p>
      <w:pPr>
        <w:pStyle w:val="Normal"/>
        <w:tabs>
          <w:tab w:val="clear" w:pos="708"/>
          <w:tab w:val="left" w:pos="335" w:leader="none"/>
        </w:tabs>
        <w:spacing w:lineRule="auto" w:line="240"/>
        <w:ind w:hanging="0" w:left="0" w:right="0"/>
        <w:jc w:val="both"/>
        <w:rPr>
          <w:sz w:val="20"/>
          <w:szCs w:val="20"/>
        </w:rPr>
      </w:pPr>
      <w:r>
        <w:rPr>
          <w:rFonts w:ascii="Verdana" w:hAnsi="Verdana"/>
          <w:b/>
          <w:bCs/>
          <w:sz w:val="20"/>
          <w:szCs w:val="20"/>
          <w:shd w:fill="auto" w:val="clear"/>
        </w:rPr>
        <w:t>3. DESCRIÇÃO DA SOLUÇÃO</w:t>
      </w:r>
    </w:p>
    <w:p>
      <w:pPr>
        <w:pStyle w:val="normal2"/>
        <w:spacing w:lineRule="auto" w:line="240"/>
        <w:jc w:val="both"/>
        <w:rPr>
          <w:sz w:val="20"/>
          <w:szCs w:val="20"/>
        </w:rPr>
      </w:pPr>
      <w:r>
        <w:rPr>
          <w:rFonts w:ascii="Verdana" w:hAnsi="Verdana"/>
          <w:b w:val="false"/>
          <w:bCs w:val="false"/>
          <w:sz w:val="20"/>
          <w:szCs w:val="20"/>
        </w:rPr>
        <w:t>3.1. A solução a ser adotada consiste em aquisição de caixas de som portátil para premiação dos estudantes destaques nas avaliações de desempenho estudantil do governo, que são exames em larga escala realizados pelo Inep/MEC para diagnosticar a qualidade do ensino e as competências adquiridas e tendas para as unidades escolares e Secretaria Municipal de Educação.</w:t>
      </w:r>
    </w:p>
    <w:p>
      <w:pPr>
        <w:pStyle w:val="Normal"/>
        <w:spacing w:lineRule="auto" w:line="240"/>
        <w:jc w:val="both"/>
        <w:rPr>
          <w:sz w:val="20"/>
          <w:szCs w:val="20"/>
        </w:rPr>
      </w:pPr>
      <w:r>
        <w:rPr>
          <w:rFonts w:ascii="Verdana" w:hAnsi="Verdana"/>
          <w:b w:val="false"/>
          <w:bCs w:val="false"/>
          <w:sz w:val="20"/>
          <w:szCs w:val="20"/>
        </w:rPr>
        <w:t>3.2. A aquisição deverá obedecer, no que couber, ao disposto na Lei n.º 14.133/2021 e suas alterações.</w:t>
      </w:r>
    </w:p>
    <w:p>
      <w:pPr>
        <w:pStyle w:val="normal2"/>
        <w:spacing w:lineRule="auto" w:line="240"/>
        <w:jc w:val="both"/>
        <w:rPr>
          <w:sz w:val="20"/>
          <w:szCs w:val="20"/>
        </w:rPr>
      </w:pPr>
      <w:r>
        <w:rPr>
          <w:rFonts w:ascii="Verdana" w:hAnsi="Verdana"/>
          <w:b w:val="false"/>
          <w:bCs w:val="false"/>
          <w:sz w:val="20"/>
          <w:szCs w:val="20"/>
        </w:rPr>
        <w:t>3.3 As especificações dos equipamentos que estão contidas no Estudo Técnico Preliminar, conforme solicitação de compras em anexo, estão de acordo com os padrões existentes no mercado.</w:t>
      </w:r>
    </w:p>
    <w:p>
      <w:pPr>
        <w:pStyle w:val="ListParagraph"/>
        <w:tabs>
          <w:tab w:val="clear" w:pos="708"/>
          <w:tab w:val="left" w:pos="3390" w:leader="none"/>
          <w:tab w:val="center" w:pos="5032" w:leader="none"/>
        </w:tabs>
        <w:spacing w:lineRule="auto" w:line="240" w:before="0" w:after="0"/>
        <w:ind w:hanging="0" w:left="0"/>
        <w:contextualSpacing/>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ind w:hanging="0" w:left="0" w:right="0"/>
        <w:jc w:val="both"/>
        <w:rPr>
          <w:sz w:val="20"/>
          <w:szCs w:val="20"/>
        </w:rPr>
      </w:pPr>
      <w:r>
        <w:rPr>
          <w:rFonts w:ascii="Verdana" w:hAnsi="Verdana"/>
          <w:b/>
          <w:bCs/>
          <w:sz w:val="20"/>
          <w:szCs w:val="20"/>
          <w:shd w:fill="auto" w:val="clear"/>
        </w:rPr>
        <w:t>4. REQUISITOS DA CONTRATAÇÃO</w:t>
      </w:r>
    </w:p>
    <w:p>
      <w:pPr>
        <w:pStyle w:val="normal2"/>
        <w:spacing w:lineRule="auto" w:line="240"/>
        <w:jc w:val="both"/>
        <w:rPr>
          <w:sz w:val="20"/>
          <w:szCs w:val="20"/>
        </w:rPr>
      </w:pPr>
      <w:r>
        <w:rPr>
          <w:rFonts w:ascii="Verdana" w:hAnsi="Verdana"/>
          <w:b w:val="false"/>
          <w:bCs w:val="false"/>
          <w:sz w:val="20"/>
          <w:szCs w:val="20"/>
        </w:rPr>
        <w:t xml:space="preserve">4.1. Neste procedimento, será sagrada vencedora o fornecedor apresentar o menor preço unitário. </w:t>
      </w:r>
    </w:p>
    <w:p>
      <w:pPr>
        <w:pStyle w:val="normal2"/>
        <w:spacing w:lineRule="auto" w:line="240"/>
        <w:jc w:val="both"/>
        <w:rPr>
          <w:sz w:val="20"/>
          <w:szCs w:val="20"/>
        </w:rPr>
      </w:pPr>
      <w:r>
        <w:rPr>
          <w:rFonts w:ascii="Verdana" w:hAnsi="Verdana"/>
          <w:b w:val="false"/>
          <w:bCs w:val="false"/>
          <w:sz w:val="20"/>
          <w:szCs w:val="20"/>
        </w:rPr>
        <w:t>4.2. A contratação deverá obedecer, no que couber, ao disposto na Lei n.º 14.133/2021 e suas alterações e demais legislações correlatas.</w:t>
      </w:r>
    </w:p>
    <w:p>
      <w:pPr>
        <w:pStyle w:val="normal2"/>
        <w:spacing w:lineRule="auto" w:line="240"/>
        <w:jc w:val="both"/>
        <w:rPr>
          <w:sz w:val="20"/>
          <w:szCs w:val="20"/>
        </w:rPr>
      </w:pPr>
      <w:r>
        <w:rPr>
          <w:rFonts w:ascii="Verdana" w:hAnsi="Verdana"/>
          <w:b w:val="false"/>
          <w:bCs w:val="false"/>
          <w:sz w:val="20"/>
          <w:szCs w:val="20"/>
        </w:rPr>
        <w:t>4.3. A entrega deverá ocorrer sem qualquer ônus adicional, bem como a descarga e todas as demais despesas provenientes da mesma, previamente agendada com a Secretaria Municipal de Educação;</w:t>
      </w:r>
    </w:p>
    <w:p>
      <w:pPr>
        <w:pStyle w:val="normal2"/>
        <w:spacing w:lineRule="auto" w:line="240"/>
        <w:jc w:val="both"/>
        <w:rPr>
          <w:sz w:val="20"/>
          <w:szCs w:val="20"/>
        </w:rPr>
      </w:pPr>
      <w:r>
        <w:rPr>
          <w:rFonts w:ascii="Verdana" w:hAnsi="Verdana"/>
          <w:b w:val="false"/>
          <w:bCs w:val="false"/>
          <w:sz w:val="20"/>
          <w:szCs w:val="20"/>
        </w:rPr>
        <w:t xml:space="preserve">4.4. A Empresa garantirá a qualidade dos equipamentos obrigando-se a repor aquele que apresentar defeito ou for entregue em desacordo com o apresentado na proposta; </w:t>
      </w:r>
    </w:p>
    <w:p>
      <w:pPr>
        <w:pStyle w:val="normal2"/>
        <w:spacing w:lineRule="auto" w:line="240"/>
        <w:jc w:val="both"/>
        <w:rPr>
          <w:sz w:val="20"/>
          <w:szCs w:val="20"/>
        </w:rPr>
      </w:pPr>
      <w:r>
        <w:rPr>
          <w:rFonts w:ascii="Verdana" w:hAnsi="Verdana"/>
          <w:b w:val="false"/>
          <w:bCs w:val="false"/>
          <w:sz w:val="20"/>
          <w:szCs w:val="20"/>
        </w:rPr>
        <w:t>4.5. Os equipamentos que não estiverem de acordo com as especificações contidos na proposta, apresentem vício de qualidade ou impropriedade para o uso, serão recusados e devolvidos parcial ou totalmente, conforme caso, ficando a CONTRATADA, obrigada a substituí-los no prazo de 5 (cinco) dias úteis, contadas do recebimento da notificação escrita, sob pena de incorrer em atraso quanto ao prazo de execução;</w:t>
      </w:r>
    </w:p>
    <w:p>
      <w:pPr>
        <w:pStyle w:val="normal2"/>
        <w:spacing w:lineRule="auto" w:line="240"/>
        <w:jc w:val="both"/>
        <w:rPr>
          <w:sz w:val="20"/>
          <w:szCs w:val="20"/>
        </w:rPr>
      </w:pPr>
      <w:r>
        <w:rPr>
          <w:rFonts w:ascii="Verdana" w:hAnsi="Verdana"/>
          <w:b w:val="false"/>
          <w:bCs w:val="false"/>
          <w:sz w:val="20"/>
          <w:szCs w:val="20"/>
        </w:rPr>
        <w:t>4.6. Havendo erro na Nota Fiscal ou outra circunstância impeditiva, o recebimento definitivo será suspenso, até que a empresa tome as medidas saneadoras necessárias;</w:t>
      </w:r>
    </w:p>
    <w:p>
      <w:pPr>
        <w:pStyle w:val="normal2"/>
        <w:spacing w:lineRule="auto" w:line="240"/>
        <w:jc w:val="both"/>
        <w:rPr>
          <w:sz w:val="20"/>
          <w:szCs w:val="20"/>
        </w:rPr>
      </w:pPr>
      <w:r>
        <w:rPr>
          <w:rFonts w:ascii="Verdana" w:hAnsi="Verdana"/>
          <w:b w:val="false"/>
          <w:bCs w:val="false"/>
          <w:sz w:val="20"/>
          <w:szCs w:val="20"/>
        </w:rPr>
        <w:t>4.7. Nos preços apresentados deverão estar incluídas todas as despesas carga e descarga, com mão de obra, materiais, encargos trabalhistas, previdenciários, fiscais, comerciais, despesas e obrigações financeiras de qualquer natureza e outras despesas, diretas e indiretas, inclusive lucro, necessários à perfeita entrega dos equipamentos;</w:t>
      </w:r>
    </w:p>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jc w:val="both"/>
        <w:rPr>
          <w:sz w:val="20"/>
          <w:szCs w:val="20"/>
        </w:rPr>
      </w:pPr>
      <w:r>
        <w:rPr>
          <w:rFonts w:ascii="Verdana" w:hAnsi="Verdana"/>
          <w:b w:val="false"/>
          <w:bCs w:val="false"/>
          <w:sz w:val="20"/>
          <w:szCs w:val="20"/>
        </w:rPr>
        <w:tab/>
      </w:r>
      <w:r>
        <w:rPr>
          <w:rFonts w:ascii="Verdana" w:hAnsi="Verdana"/>
          <w:b/>
          <w:bCs/>
          <w:sz w:val="20"/>
          <w:szCs w:val="20"/>
        </w:rPr>
        <w:t>4.8. Da qualificação técnica</w:t>
      </w:r>
    </w:p>
    <w:p>
      <w:pPr>
        <w:pStyle w:val="Normal"/>
        <w:spacing w:lineRule="auto" w:line="240"/>
        <w:jc w:val="both"/>
        <w:rPr>
          <w:sz w:val="20"/>
          <w:szCs w:val="20"/>
        </w:rPr>
      </w:pPr>
      <w:r>
        <w:rPr>
          <w:rFonts w:ascii="Verdana" w:hAnsi="Verdana"/>
          <w:b w:val="false"/>
          <w:bCs w:val="false"/>
          <w:sz w:val="20"/>
          <w:szCs w:val="20"/>
        </w:rPr>
        <w:t xml:space="preserve">4.8.1 </w:t>
      </w:r>
      <w:r>
        <w:rPr>
          <w:rFonts w:ascii="Verdana" w:hAnsi="Verdana"/>
          <w:b w:val="false"/>
          <w:bCs w:val="false"/>
          <w:color w:val="001D35"/>
          <w:sz w:val="20"/>
          <w:szCs w:val="20"/>
          <w:highlight w:val="white"/>
        </w:rPr>
        <w:t>P</w:t>
      </w:r>
      <w:r>
        <w:rPr>
          <w:rFonts w:ascii="Verdana" w:hAnsi="Verdana"/>
          <w:b w:val="false"/>
          <w:bCs w:val="false"/>
          <w:sz w:val="20"/>
          <w:szCs w:val="20"/>
          <w:highlight w:val="white"/>
        </w:rPr>
        <w:t>ara efeitos de comprovação da qualificação técnica, são necessários documentos que atestem capacidade técnica, tais como Documentos de Habilitação Fiscal, Social e Trabalhista, regularidade com relação a impostos, contribuições sociais e obrigações trabalhistas.</w:t>
      </w:r>
    </w:p>
    <w:p>
      <w:pPr>
        <w:pStyle w:val="Normal"/>
        <w:spacing w:lineRule="auto" w:line="240"/>
        <w:jc w:val="both"/>
        <w:rPr>
          <w:rFonts w:ascii="Verdana" w:hAnsi="Verdana"/>
          <w:b w:val="false"/>
          <w:bCs w:val="false"/>
          <w:sz w:val="20"/>
          <w:szCs w:val="20"/>
          <w:highlight w:val="white"/>
        </w:rPr>
      </w:pPr>
      <w:r>
        <w:rPr>
          <w:rFonts w:ascii="Verdana" w:hAnsi="Verdana"/>
          <w:b w:val="false"/>
          <w:bCs w:val="false"/>
          <w:sz w:val="20"/>
          <w:szCs w:val="20"/>
          <w:highlight w:val="white"/>
        </w:rPr>
      </w:r>
    </w:p>
    <w:p>
      <w:pPr>
        <w:pStyle w:val="Normal"/>
        <w:spacing w:lineRule="auto" w:line="240"/>
        <w:jc w:val="both"/>
        <w:rPr>
          <w:sz w:val="20"/>
          <w:szCs w:val="20"/>
        </w:rPr>
      </w:pPr>
      <w:r>
        <w:rPr>
          <w:rFonts w:ascii="Verdana" w:hAnsi="Verdana"/>
          <w:b/>
          <w:bCs/>
          <w:sz w:val="20"/>
          <w:szCs w:val="20"/>
          <w:highlight w:val="white"/>
        </w:rPr>
        <w:tab/>
        <w:t>4.8.2 Para garantir a qualidade sonora (caixas de som portátil):</w:t>
      </w:r>
    </w:p>
    <w:p>
      <w:pPr>
        <w:pStyle w:val="Normal"/>
        <w:spacing w:lineRule="auto" w:line="240"/>
        <w:jc w:val="both"/>
        <w:rPr>
          <w:sz w:val="20"/>
          <w:szCs w:val="20"/>
        </w:rPr>
      </w:pPr>
      <w:r>
        <w:rPr>
          <w:rFonts w:ascii="Verdana" w:hAnsi="Verdana"/>
          <w:b w:val="false"/>
          <w:bCs w:val="false"/>
          <w:sz w:val="20"/>
          <w:szCs w:val="20"/>
          <w:highlight w:val="white"/>
        </w:rPr>
        <w:t>a)</w:t>
      </w:r>
      <w:r>
        <w:rPr>
          <w:rFonts w:cs="Arial" w:ascii="Verdana" w:hAnsi="Verdana"/>
          <w:b w:val="false"/>
          <w:bCs w:val="false"/>
          <w:sz w:val="20"/>
          <w:szCs w:val="20"/>
        </w:rPr>
        <w:t xml:space="preserve"> </w:t>
      </w:r>
      <w:r>
        <w:rPr>
          <w:rFonts w:ascii="Verdana" w:hAnsi="Verdana"/>
          <w:b w:val="false"/>
          <w:bCs w:val="false"/>
          <w:sz w:val="20"/>
          <w:szCs w:val="20"/>
          <w:highlight w:val="white"/>
        </w:rPr>
        <w:t xml:space="preserve">Potência e Componentes: Especificação de potência mínima </w:t>
      </w:r>
      <w:r>
        <w:rPr>
          <w:rFonts w:ascii="Verdana" w:hAnsi="Verdana"/>
          <w:b w:val="false"/>
          <w:bCs w:val="false"/>
          <w:sz w:val="20"/>
          <w:szCs w:val="20"/>
        </w:rPr>
        <w:t>10W a 20W RMS;</w:t>
      </w:r>
    </w:p>
    <w:p>
      <w:pPr>
        <w:pStyle w:val="Normal"/>
        <w:spacing w:lineRule="auto" w:line="240"/>
        <w:jc w:val="both"/>
        <w:rPr>
          <w:sz w:val="20"/>
          <w:szCs w:val="20"/>
        </w:rPr>
      </w:pPr>
      <w:r>
        <w:rPr>
          <w:rFonts w:ascii="Verdana" w:hAnsi="Verdana"/>
          <w:b w:val="false"/>
          <w:bCs w:val="false"/>
          <w:sz w:val="20"/>
          <w:szCs w:val="20"/>
          <w:highlight w:val="white"/>
        </w:rPr>
        <w:t>b)</w:t>
      </w:r>
      <w:r>
        <w:rPr>
          <w:rFonts w:cs="Arial" w:ascii="Verdana" w:hAnsi="Verdana"/>
          <w:b w:val="false"/>
          <w:bCs w:val="false"/>
          <w:sz w:val="20"/>
          <w:szCs w:val="20"/>
        </w:rPr>
        <w:t xml:space="preserve"> </w:t>
      </w:r>
      <w:r>
        <w:rPr>
          <w:rFonts w:ascii="Verdana" w:hAnsi="Verdana"/>
          <w:b w:val="false"/>
          <w:bCs w:val="false"/>
          <w:sz w:val="20"/>
          <w:szCs w:val="20"/>
          <w:highlight w:val="white"/>
        </w:rPr>
        <w:t xml:space="preserve">Conectividade e Bateria: Presença de tecnologia Bluetooth, autonomia da bateria (miliampère-hora, mAh) e certificação de resistência à água ou impacto. </w:t>
      </w:r>
    </w:p>
    <w:p>
      <w:pPr>
        <w:pStyle w:val="Normal"/>
        <w:tabs>
          <w:tab w:val="clear" w:pos="708"/>
          <w:tab w:val="right" w:pos="9746" w:leader="none"/>
        </w:tabs>
        <w:spacing w:lineRule="auto" w:line="240"/>
        <w:jc w:val="both"/>
        <w:rPr>
          <w:sz w:val="20"/>
          <w:szCs w:val="20"/>
        </w:rPr>
      </w:pPr>
      <w:r>
        <w:rPr>
          <w:rFonts w:ascii="Verdana" w:hAnsi="Verdana"/>
          <w:b w:val="false"/>
          <w:bCs w:val="false"/>
          <w:sz w:val="20"/>
          <w:szCs w:val="20"/>
        </w:rPr>
        <w:t>c)</w:t>
      </w:r>
      <w:r>
        <w:rPr>
          <w:rFonts w:cs="Arial" w:ascii="Verdana" w:hAnsi="Verdana"/>
          <w:b w:val="false"/>
          <w:bCs w:val="false"/>
          <w:sz w:val="20"/>
          <w:szCs w:val="20"/>
        </w:rPr>
        <w:t xml:space="preserve"> </w:t>
      </w:r>
      <w:r>
        <w:rPr>
          <w:rFonts w:ascii="Verdana" w:hAnsi="Verdana"/>
          <w:b w:val="false"/>
          <w:bCs w:val="false"/>
          <w:sz w:val="20"/>
          <w:szCs w:val="20"/>
        </w:rPr>
        <w:t>Acessórios: Deve conter Cabo para carregar, manual de instruções e garantia;</w:t>
      </w:r>
    </w:p>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jc w:val="both"/>
        <w:rPr>
          <w:sz w:val="20"/>
          <w:szCs w:val="20"/>
        </w:rPr>
      </w:pPr>
      <w:r>
        <w:rPr>
          <w:rFonts w:ascii="Verdana" w:hAnsi="Verdana"/>
          <w:b/>
          <w:bCs/>
          <w:sz w:val="20"/>
          <w:szCs w:val="20"/>
        </w:rPr>
        <w:tab/>
        <w:t>4.8.3 Para a compra de tendas sanfonadas, a qualificação envolve:</w:t>
      </w:r>
    </w:p>
    <w:p>
      <w:pPr>
        <w:pStyle w:val="Normal"/>
        <w:spacing w:lineRule="auto" w:line="240"/>
        <w:jc w:val="both"/>
        <w:rPr>
          <w:sz w:val="20"/>
          <w:szCs w:val="20"/>
        </w:rPr>
      </w:pPr>
      <w:r>
        <w:rPr>
          <w:rFonts w:ascii="Verdana" w:hAnsi="Verdana"/>
          <w:b w:val="false"/>
          <w:bCs w:val="false"/>
          <w:sz w:val="20"/>
          <w:szCs w:val="20"/>
        </w:rPr>
        <w:t>a)</w:t>
      </w:r>
      <w:r>
        <w:rPr>
          <w:rFonts w:cs="Arial" w:ascii="Verdana" w:hAnsi="Verdana"/>
          <w:b w:val="false"/>
          <w:bCs w:val="false"/>
          <w:sz w:val="20"/>
          <w:szCs w:val="20"/>
        </w:rPr>
        <w:t xml:space="preserve"> </w:t>
      </w:r>
      <w:r>
        <w:rPr>
          <w:rFonts w:ascii="Verdana" w:hAnsi="Verdana"/>
          <w:b w:val="false"/>
          <w:bCs w:val="false"/>
          <w:sz w:val="20"/>
          <w:szCs w:val="20"/>
        </w:rPr>
        <w:t>Estrutura: Exigência de perfis metálicos resistentes (como ferro galvanizado ou alumínio) e tratamento antiferrugem.</w:t>
      </w:r>
    </w:p>
    <w:p>
      <w:pPr>
        <w:pStyle w:val="Normal"/>
        <w:spacing w:lineRule="auto" w:line="240"/>
        <w:jc w:val="both"/>
        <w:rPr>
          <w:sz w:val="20"/>
          <w:szCs w:val="20"/>
        </w:rPr>
      </w:pPr>
      <w:r>
        <w:rPr>
          <w:rFonts w:ascii="Verdana" w:hAnsi="Verdana"/>
          <w:b w:val="false"/>
          <w:bCs w:val="false"/>
          <w:sz w:val="20"/>
          <w:szCs w:val="20"/>
        </w:rPr>
        <w:t>b)</w:t>
      </w:r>
      <w:r>
        <w:rPr>
          <w:rFonts w:cs="Arial" w:ascii="Verdana" w:hAnsi="Verdana"/>
          <w:b w:val="false"/>
          <w:bCs w:val="false"/>
          <w:sz w:val="20"/>
          <w:szCs w:val="20"/>
        </w:rPr>
        <w:t xml:space="preserve"> </w:t>
      </w:r>
      <w:r>
        <w:rPr>
          <w:rFonts w:ascii="Verdana" w:hAnsi="Verdana"/>
          <w:b w:val="false"/>
          <w:bCs w:val="false"/>
          <w:sz w:val="20"/>
          <w:szCs w:val="20"/>
        </w:rPr>
        <w:t>Cobertura: Contendo propriedades impermeáveis, proteção solar FPS 100 (Anti-UV) e antichamas.</w:t>
      </w:r>
    </w:p>
    <w:p>
      <w:pPr>
        <w:pStyle w:val="Normal"/>
        <w:tabs>
          <w:tab w:val="clear" w:pos="708"/>
          <w:tab w:val="left" w:pos="1540" w:leader="none"/>
        </w:tabs>
        <w:spacing w:lineRule="auto" w:line="240"/>
        <w:jc w:val="both"/>
        <w:rPr>
          <w:sz w:val="20"/>
          <w:szCs w:val="20"/>
        </w:rPr>
      </w:pPr>
      <w:r>
        <w:rPr>
          <w:rFonts w:ascii="Verdana" w:hAnsi="Verdana"/>
          <w:b w:val="false"/>
          <w:bCs w:val="false"/>
          <w:sz w:val="20"/>
          <w:szCs w:val="20"/>
          <w:highlight w:val="white"/>
        </w:rPr>
        <w:t>c)</w:t>
      </w:r>
      <w:r>
        <w:rPr>
          <w:rFonts w:ascii="Verdana" w:hAnsi="Verdana"/>
          <w:b w:val="false"/>
          <w:bCs w:val="false"/>
          <w:sz w:val="20"/>
          <w:szCs w:val="20"/>
        </w:rPr>
        <w:t xml:space="preserve"> Segurança: Sistema de ancoragem (estacas e cordas) que garanta estabilidade com ventos de pelo menos 30 km/h e Bolsa de Transporte Fácil Montagem.</w:t>
      </w:r>
    </w:p>
    <w:p>
      <w:pPr>
        <w:pStyle w:val="ListParagraph"/>
        <w:tabs>
          <w:tab w:val="clear" w:pos="708"/>
          <w:tab w:val="left" w:pos="3390" w:leader="none"/>
          <w:tab w:val="center" w:pos="5032" w:leader="none"/>
        </w:tabs>
        <w:spacing w:lineRule="auto" w:line="240" w:before="0" w:after="0"/>
        <w:ind w:hanging="0" w:left="0"/>
        <w:contextualSpacing/>
        <w:jc w:val="both"/>
        <w:rPr>
          <w:rFonts w:ascii="Verdana" w:hAnsi="Verdana" w:cs="Arial"/>
          <w:sz w:val="20"/>
          <w:szCs w:val="20"/>
          <w:shd w:fill="auto" w:val="clear"/>
        </w:rPr>
      </w:pPr>
      <w:r>
        <w:rPr>
          <w:rFonts w:cs="Arial" w:ascii="Verdana" w:hAnsi="Verdana"/>
          <w:sz w:val="20"/>
          <w:szCs w:val="20"/>
          <w:shd w:fill="auto" w:val="clear"/>
        </w:rPr>
      </w:r>
    </w:p>
    <w:p>
      <w:pPr>
        <w:pStyle w:val="Normal"/>
        <w:spacing w:lineRule="auto" w:line="240"/>
        <w:ind w:hanging="0" w:left="0" w:right="0"/>
        <w:jc w:val="both"/>
        <w:rPr>
          <w:sz w:val="20"/>
          <w:szCs w:val="20"/>
        </w:rPr>
      </w:pPr>
      <w:r>
        <w:rPr>
          <w:rFonts w:ascii="Verdana" w:hAnsi="Verdana"/>
          <w:b/>
          <w:bCs/>
          <w:sz w:val="20"/>
          <w:szCs w:val="20"/>
          <w:shd w:fill="auto" w:val="clear"/>
        </w:rPr>
        <w:t xml:space="preserve">5. MODELO DE EXECUÇÃO CONTRATUAL </w:t>
      </w:r>
    </w:p>
    <w:p>
      <w:pPr>
        <w:pStyle w:val="ListParagraph"/>
        <w:widowControl/>
        <w:tabs>
          <w:tab w:val="clear" w:pos="708"/>
          <w:tab w:val="left" w:pos="0" w:leader="none"/>
          <w:tab w:val="left" w:pos="450" w:leader="none"/>
        </w:tabs>
        <w:suppressAutoHyphens w:val="true"/>
        <w:bidi w:val="0"/>
        <w:spacing w:lineRule="auto" w:line="240" w:before="0" w:after="0"/>
        <w:ind w:firstLine="57" w:left="-57" w:right="0"/>
        <w:contextualSpacing w:val="false"/>
        <w:jc w:val="both"/>
        <w:rPr>
          <w:sz w:val="20"/>
          <w:szCs w:val="20"/>
        </w:rPr>
      </w:pPr>
      <w:r>
        <w:rPr>
          <w:rFonts w:cs="Times New Roman" w:ascii="Verdana" w:hAnsi="Verdana"/>
          <w:b w:val="false"/>
          <w:bCs w:val="false"/>
          <w:iCs/>
          <w:sz w:val="20"/>
          <w:szCs w:val="20"/>
          <w:shd w:fill="auto" w:val="clear"/>
          <w:lang w:val="pt-BR"/>
        </w:rPr>
        <w:t>5</w:t>
      </w:r>
      <w:r>
        <w:rPr>
          <w:rFonts w:cs="Arial" w:ascii="Verdana" w:hAnsi="Verdana"/>
          <w:b w:val="false"/>
          <w:bCs w:val="false"/>
          <w:iCs/>
          <w:sz w:val="20"/>
          <w:szCs w:val="20"/>
        </w:rPr>
        <w:t>.1. A entrega deverá ser realizada na sede da EMEF Irmã Adelaide Bertocchi – Polivalente (aos cuidados do diretor ou outro responsável que está secretaria irá designar, ou em endereço indicado na Ordem de Fornecimento, no prazo máximo de 45 dias corridos após a emissão de Autorização de Fornecimento.</w:t>
      </w:r>
    </w:p>
    <w:p>
      <w:pPr>
        <w:pStyle w:val="Normal"/>
        <w:spacing w:lineRule="auto" w:line="240"/>
        <w:jc w:val="both"/>
        <w:rPr>
          <w:sz w:val="20"/>
          <w:szCs w:val="20"/>
        </w:rPr>
      </w:pPr>
      <w:r>
        <w:rPr>
          <w:rFonts w:ascii="Verdana" w:hAnsi="Verdana"/>
          <w:b w:val="false"/>
          <w:bCs w:val="false"/>
          <w:sz w:val="20"/>
          <w:szCs w:val="20"/>
        </w:rPr>
        <w:t>5.1.2. CONTATO</w:t>
      </w:r>
    </w:p>
    <w:p>
      <w:pPr>
        <w:pStyle w:val="Normal"/>
        <w:spacing w:lineRule="auto" w:line="240"/>
        <w:jc w:val="both"/>
        <w:rPr>
          <w:sz w:val="20"/>
          <w:szCs w:val="20"/>
        </w:rPr>
      </w:pPr>
      <w:r>
        <w:rPr>
          <w:rFonts w:ascii="Verdana" w:hAnsi="Verdana"/>
          <w:b w:val="false"/>
          <w:bCs w:val="false"/>
          <w:sz w:val="20"/>
          <w:szCs w:val="20"/>
        </w:rPr>
        <w:t>Tel: 27 99574-4758</w:t>
      </w:r>
    </w:p>
    <w:p>
      <w:pPr>
        <w:pStyle w:val="Normal"/>
        <w:spacing w:lineRule="auto" w:line="240"/>
        <w:jc w:val="both"/>
        <w:rPr>
          <w:sz w:val="20"/>
          <w:szCs w:val="20"/>
        </w:rPr>
      </w:pPr>
      <w:r>
        <w:rPr>
          <w:rFonts w:ascii="Verdana" w:hAnsi="Verdana"/>
          <w:b w:val="false"/>
          <w:bCs w:val="false"/>
          <w:sz w:val="20"/>
          <w:szCs w:val="20"/>
        </w:rPr>
        <w:t xml:space="preserve">Email: </w:t>
      </w:r>
      <w:r>
        <w:rPr>
          <w:rFonts w:eastAsia="Roboto" w:cs="Roboto" w:ascii="Verdana" w:hAnsi="Verdana"/>
          <w:b w:val="false"/>
          <w:bCs w:val="false"/>
          <w:color w:val="1F1F1F"/>
          <w:sz w:val="20"/>
          <w:szCs w:val="20"/>
          <w:shd w:fill="E9EEF6" w:val="clear"/>
        </w:rPr>
        <w:t>financeirosemecsgp@gmail.com</w:t>
      </w:r>
    </w:p>
    <w:p>
      <w:pPr>
        <w:pStyle w:val="ListParagraph"/>
        <w:widowControl/>
        <w:tabs>
          <w:tab w:val="clear" w:pos="708"/>
          <w:tab w:val="left" w:pos="0" w:leader="none"/>
          <w:tab w:val="left" w:pos="450" w:leader="none"/>
        </w:tabs>
        <w:suppressAutoHyphens w:val="true"/>
        <w:bidi w:val="0"/>
        <w:spacing w:lineRule="auto" w:line="240" w:before="0" w:after="0"/>
        <w:ind w:firstLine="57" w:left="-57" w:right="0"/>
        <w:contextualSpacing w:val="false"/>
        <w:jc w:val="both"/>
        <w:rPr>
          <w:sz w:val="20"/>
          <w:szCs w:val="20"/>
        </w:rPr>
      </w:pPr>
      <w:r>
        <w:rPr>
          <w:rFonts w:eastAsia="Arial" w:cs="Arial" w:ascii="Verdana" w:hAnsi="Verdana"/>
          <w:b w:val="false"/>
          <w:bCs w:val="false"/>
          <w:iCs/>
          <w:sz w:val="20"/>
          <w:szCs w:val="20"/>
          <w:lang w:val="pt-BR"/>
        </w:rPr>
        <w:t>Responsável: Secretaria Municipal de Educação</w:t>
      </w:r>
    </w:p>
    <w:p>
      <w:pPr>
        <w:pStyle w:val="Normal"/>
        <w:spacing w:lineRule="auto" w:line="240"/>
        <w:jc w:val="both"/>
        <w:rPr>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.2.</w:t>
      </w:r>
      <w:r>
        <w:rPr>
          <w:rFonts w:cs="Arial" w:ascii="Verdana" w:hAnsi="Verdana"/>
          <w:sz w:val="20"/>
          <w:szCs w:val="20"/>
        </w:rPr>
        <w:t xml:space="preserve"> A Empresa vencedora garantirá a qualidade dos materiais obrigando-se a repor aquele que apresentar defeito ou for entregue em desacordo com o apresentado na proposta; </w:t>
      </w:r>
    </w:p>
    <w:p>
      <w:pPr>
        <w:pStyle w:val="Normal"/>
        <w:spacing w:lineRule="auto" w:line="240"/>
        <w:jc w:val="both"/>
        <w:rPr>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w:t>
      </w:r>
      <w:r>
        <w:rPr>
          <w:rFonts w:cs="Arial" w:ascii="Verdana" w:hAnsi="Verdana"/>
          <w:b w:val="false"/>
          <w:bCs w:val="false"/>
          <w:sz w:val="20"/>
          <w:szCs w:val="20"/>
          <w:lang w:val="pt-BR"/>
        </w:rPr>
        <w:t>3.</w:t>
      </w:r>
      <w:r>
        <w:rPr>
          <w:rFonts w:cs="Arial" w:ascii="Verdana" w:hAnsi="Verdana"/>
          <w:sz w:val="20"/>
          <w:szCs w:val="20"/>
        </w:rPr>
        <w:t xml:space="preserve"> O recebimento ocorrerá com a verificação integral das características do produto fornecido pela CONTRATADA;</w:t>
      </w:r>
    </w:p>
    <w:p>
      <w:pPr>
        <w:pStyle w:val="Normal"/>
        <w:spacing w:lineRule="auto" w:line="240"/>
        <w:jc w:val="both"/>
        <w:rPr>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w:t>
      </w:r>
      <w:r>
        <w:rPr>
          <w:rFonts w:cs="Arial" w:ascii="Verdana" w:hAnsi="Verdana"/>
          <w:b w:val="false"/>
          <w:bCs w:val="false"/>
          <w:sz w:val="20"/>
          <w:szCs w:val="20"/>
          <w:lang w:val="pt-BR"/>
        </w:rPr>
        <w:t>4.</w:t>
      </w:r>
      <w:r>
        <w:rPr>
          <w:rFonts w:cs="Arial" w:ascii="Verdana" w:hAnsi="Verdana"/>
          <w:sz w:val="20"/>
          <w:szCs w:val="20"/>
        </w:rPr>
        <w:t xml:space="preserve"> O recebimento não isenta a CONTRATADA de responsabilidades futuras quanto à qualidade do</w:t>
      </w:r>
      <w:r>
        <w:rPr>
          <w:rFonts w:cs="Arial" w:ascii="Verdana" w:hAnsi="Verdana"/>
          <w:sz w:val="20"/>
          <w:szCs w:val="20"/>
          <w:lang w:val="pt-BR"/>
        </w:rPr>
        <w:t xml:space="preserve"> material</w:t>
      </w:r>
      <w:r>
        <w:rPr>
          <w:rFonts w:cs="Arial" w:ascii="Verdana" w:hAnsi="Verdana"/>
          <w:sz w:val="20"/>
          <w:szCs w:val="20"/>
        </w:rPr>
        <w:t>.</w:t>
      </w:r>
    </w:p>
    <w:p>
      <w:pPr>
        <w:pStyle w:val="Nivel2"/>
        <w:spacing w:lineRule="auto" w:line="240" w:before="0" w:after="0"/>
        <w:ind w:hanging="0" w:left="0" w:right="0"/>
        <w:rPr>
          <w:sz w:val="20"/>
          <w:szCs w:val="20"/>
        </w:rPr>
      </w:pPr>
      <w:r>
        <w:rPr>
          <w:rFonts w:cs="Times New Roman" w:ascii="Verdana" w:hAnsi="Verdana"/>
          <w:b w:val="false"/>
          <w:bCs w:val="false"/>
          <w:iCs/>
          <w:color w:val="auto"/>
          <w:sz w:val="20"/>
          <w:szCs w:val="20"/>
        </w:rPr>
        <w:t>5.5</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spacing w:lineRule="auto" w:line="240" w:before="0" w:after="0"/>
        <w:ind w:hanging="0" w:left="0" w:right="0"/>
        <w:rPr>
          <w:sz w:val="20"/>
          <w:szCs w:val="20"/>
        </w:rPr>
      </w:pPr>
      <w:r>
        <w:rPr>
          <w:rFonts w:cs="Times New Roman" w:ascii="Verdana" w:hAnsi="Verdana"/>
          <w:b w:val="false"/>
          <w:bCs w:val="false"/>
          <w:color w:val="auto"/>
          <w:sz w:val="20"/>
          <w:szCs w:val="20"/>
        </w:rPr>
        <w:t>5.6.</w:t>
      </w:r>
      <w:r>
        <w:rPr>
          <w:rFonts w:cs="Times New Roman" w:ascii="Verdana" w:hAnsi="Verdana"/>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240"/>
        <w:ind w:hanging="0" w:left="0" w:right="0"/>
        <w:jc w:val="both"/>
        <w:rPr>
          <w:sz w:val="20"/>
          <w:szCs w:val="20"/>
        </w:rPr>
      </w:pPr>
      <w:r>
        <w:rPr>
          <w:rFonts w:ascii="Verdana" w:hAnsi="Verdana"/>
          <w:b w:val="false"/>
          <w:bCs w:val="false"/>
          <w:sz w:val="20"/>
          <w:szCs w:val="20"/>
        </w:rPr>
        <w:t>5.7.</w:t>
      </w:r>
      <w:r>
        <w:rPr>
          <w:rFonts w:ascii="Verdana" w:hAnsi="Verdana"/>
          <w:sz w:val="20"/>
          <w:szCs w:val="20"/>
        </w:rPr>
        <w:t xml:space="preserve">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spacing w:lineRule="auto" w:line="240" w:before="0" w:after="0"/>
        <w:ind w:hanging="0" w:left="0" w:right="0"/>
        <w:rPr>
          <w:sz w:val="20"/>
          <w:szCs w:val="20"/>
        </w:rPr>
      </w:pPr>
      <w:r>
        <w:rPr>
          <w:rFonts w:cs="Times New Roman" w:ascii="Verdana" w:hAnsi="Verdana"/>
          <w:b w:val="false"/>
          <w:bCs w:val="false"/>
          <w:color w:val="auto"/>
          <w:sz w:val="20"/>
          <w:szCs w:val="20"/>
        </w:rPr>
        <w:t>5.8.</w:t>
      </w:r>
      <w:r>
        <w:rPr>
          <w:rFonts w:cs="Times New Roman" w:ascii="Verdana" w:hAnsi="Verdana"/>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hanging="0" w:left="0" w:right="0"/>
        <w:jc w:val="both"/>
        <w:rPr>
          <w:sz w:val="20"/>
          <w:szCs w:val="20"/>
        </w:rPr>
      </w:pPr>
      <w:r>
        <w:rPr>
          <w:rFonts w:ascii="Verdana" w:hAnsi="Verdana"/>
          <w:b w:val="false"/>
          <w:bCs w:val="false"/>
          <w:sz w:val="20"/>
          <w:szCs w:val="20"/>
        </w:rPr>
        <w:t>5.9.</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spacing w:lineRule="auto" w:line="240" w:before="0" w:after="0"/>
        <w:ind w:hanging="0" w:left="0" w:right="0"/>
        <w:rPr>
          <w:sz w:val="20"/>
          <w:szCs w:val="20"/>
        </w:rPr>
      </w:pPr>
      <w:r>
        <w:rPr>
          <w:rFonts w:cs="Times New Roman" w:ascii="Verdana" w:hAnsi="Verdana"/>
          <w:b w:val="false"/>
          <w:bCs w:val="false"/>
          <w:iCs/>
          <w:color w:val="auto"/>
          <w:sz w:val="20"/>
          <w:szCs w:val="20"/>
        </w:rPr>
        <w:t>5.10. No caso de recusa da entrega do produto pelo fornecedor, a Administração Pública adotará as providências cabíveis, de cordo com a legislação aplicável, visando sanar problemas por ventura ocorridos.</w:t>
      </w:r>
    </w:p>
    <w:p>
      <w:pPr>
        <w:pStyle w:val="Normal"/>
        <w:widowControl/>
        <w:tabs>
          <w:tab w:val="clear" w:pos="708"/>
          <w:tab w:val="left" w:pos="508" w:leader="none"/>
        </w:tabs>
        <w:suppressAutoHyphens w:val="true"/>
        <w:bidi w:val="0"/>
        <w:spacing w:lineRule="auto" w:line="240" w:before="0" w:after="0"/>
        <w:ind w:hanging="0" w:left="0" w:right="0"/>
        <w:jc w:val="both"/>
        <w:rPr>
          <w:sz w:val="20"/>
          <w:szCs w:val="20"/>
        </w:rPr>
      </w:pPr>
      <w:r>
        <w:rPr>
          <w:rFonts w:cs="Times New Roman" w:ascii="Verdana" w:hAnsi="Verdana"/>
          <w:b w:val="false"/>
          <w:bCs w:val="false"/>
          <w:iCs/>
          <w:color w:val="auto"/>
          <w:sz w:val="20"/>
          <w:szCs w:val="20"/>
        </w:rPr>
        <w:t>5.11. Não se verifica contratações correlatas ou interdependentes.</w:t>
      </w:r>
    </w:p>
    <w:p>
      <w:pPr>
        <w:pStyle w:val="Normal"/>
        <w:widowControl/>
        <w:tabs>
          <w:tab w:val="clear" w:pos="708"/>
          <w:tab w:val="left" w:pos="508" w:leader="none"/>
        </w:tabs>
        <w:suppressAutoHyphens w:val="true"/>
        <w:bidi w:val="0"/>
        <w:spacing w:lineRule="auto" w:line="240" w:before="0" w:after="0"/>
        <w:ind w:hanging="0" w:left="0" w:right="0"/>
        <w:jc w:val="both"/>
        <w:rPr>
          <w:rFonts w:ascii="Verdana" w:hAnsi="Verdana" w:cs="Times New Roman"/>
          <w:b w:val="false"/>
          <w:bCs w:val="false"/>
          <w:iCs/>
          <w:color w:val="auto"/>
          <w:sz w:val="20"/>
          <w:szCs w:val="20"/>
        </w:rPr>
      </w:pPr>
      <w:r>
        <w:rPr>
          <w:rFonts w:cs="Times New Roman" w:ascii="Verdana" w:hAnsi="Verdana"/>
          <w:b w:val="false"/>
          <w:bCs w:val="false"/>
          <w:iCs/>
          <w:color w:val="auto"/>
          <w:sz w:val="20"/>
          <w:szCs w:val="20"/>
        </w:rPr>
      </w:r>
    </w:p>
    <w:p>
      <w:pPr>
        <w:pStyle w:val="Normal"/>
        <w:spacing w:lineRule="auto" w:line="240"/>
        <w:ind w:hanging="0" w:left="0" w:right="0"/>
        <w:jc w:val="both"/>
        <w:rPr>
          <w:sz w:val="20"/>
          <w:szCs w:val="20"/>
        </w:rPr>
      </w:pPr>
      <w:r>
        <w:rPr>
          <w:rFonts w:cs="Arial" w:ascii="Verdana" w:hAnsi="Verdana"/>
          <w:b/>
          <w:bCs/>
          <w:i w:val="false"/>
          <w:iCs w:val="false"/>
          <w:color w:val="000000"/>
          <w:sz w:val="20"/>
          <w:szCs w:val="20"/>
          <w:shd w:fill="auto" w:val="clear"/>
        </w:rPr>
        <w:t>6. OBRIGAÇÕES DA CONTRATANTE</w:t>
      </w:r>
    </w:p>
    <w:p>
      <w:pPr>
        <w:pStyle w:val="Normal"/>
        <w:spacing w:lineRule="auto" w:line="240" w:before="0" w:after="0"/>
        <w:ind w:hanging="0" w:left="0" w:right="0"/>
        <w:jc w:val="both"/>
        <w:rPr>
          <w:sz w:val="20"/>
          <w:szCs w:val="20"/>
        </w:rPr>
      </w:pPr>
      <w:r>
        <w:rPr>
          <w:rFonts w:eastAsia="Times New Roman" w:cs="Arial" w:ascii="Verdana" w:hAnsi="Verdana"/>
          <w:b w:val="false"/>
          <w:bCs w:val="false"/>
          <w:i w:val="false"/>
          <w:iCs w:val="false"/>
          <w:color w:val="000000"/>
          <w:sz w:val="20"/>
          <w:szCs w:val="20"/>
        </w:rPr>
        <w:t>6.1. Constituem obrigações da Contratante, além de outras previstas no, Termo de Referência, no Edital e seus anexos:</w:t>
      </w:r>
    </w:p>
    <w:p>
      <w:pPr>
        <w:pStyle w:val="Normal"/>
        <w:spacing w:lineRule="auto" w:line="240" w:before="0" w:after="0"/>
        <w:ind w:hanging="0" w:left="0" w:right="0"/>
        <w:jc w:val="both"/>
        <w:rPr>
          <w:sz w:val="20"/>
          <w:szCs w:val="20"/>
        </w:rPr>
      </w:pPr>
      <w:r>
        <w:rPr>
          <w:rFonts w:eastAsia="Times New Roman" w:cs="Arial" w:ascii="Verdana" w:hAnsi="Verdana"/>
          <w:b w:val="false"/>
          <w:bCs w:val="false"/>
          <w:i w:val="false"/>
          <w:iCs w:val="false"/>
          <w:color w:val="000000"/>
          <w:sz w:val="20"/>
          <w:szCs w:val="20"/>
        </w:rPr>
        <w:t>6.2.  Adquirir os objetos no prazo e condições estabelecidas no Edital e seus anexos.</w:t>
      </w:r>
    </w:p>
    <w:p>
      <w:pPr>
        <w:pStyle w:val="Normal"/>
        <w:tabs>
          <w:tab w:val="clear" w:pos="708"/>
          <w:tab w:val="left" w:pos="508" w:leader="none"/>
        </w:tabs>
        <w:spacing w:lineRule="auto" w:line="240" w:before="0" w:after="0"/>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6.3.</w:t>
      </w:r>
      <w:r>
        <w:rPr>
          <w:rFonts w:eastAsia="Times New Roman" w:cs="Arial" w:ascii="Verdana" w:hAnsi="Verdana"/>
          <w:b w:val="false"/>
          <w:bCs w:val="false"/>
          <w:i w:val="false"/>
          <w:iCs w:val="false"/>
          <w:color w:val="000000"/>
          <w:sz w:val="20"/>
          <w:szCs w:val="20"/>
        </w:rPr>
        <w:t xml:space="preserve"> Verificar a conformidade dos objetos de acordo com as especificações constantes no Contrato, Termo de Referência, Edital e seus anexos.</w:t>
      </w:r>
    </w:p>
    <w:p>
      <w:pPr>
        <w:pStyle w:val="Normal"/>
        <w:tabs>
          <w:tab w:val="clear" w:pos="708"/>
          <w:tab w:val="left" w:pos="508" w:leader="none"/>
        </w:tabs>
        <w:spacing w:lineRule="auto" w:line="240" w:before="0" w:after="0"/>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6.4.</w:t>
      </w:r>
      <w:r>
        <w:rPr>
          <w:rFonts w:eastAsia="Times New Roman" w:cs="Arial" w:ascii="Verdana" w:hAnsi="Verdana"/>
          <w:b w:val="false"/>
          <w:bCs w:val="false"/>
          <w:i w:val="false"/>
          <w:iCs w:val="false"/>
          <w:color w:val="000000"/>
          <w:sz w:val="20"/>
          <w:szCs w:val="20"/>
        </w:rPr>
        <w:t xml:space="preserve">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 xml:space="preserve">6.5. </w:t>
      </w:r>
      <w:r>
        <w:rPr>
          <w:rFonts w:eastAsia="Times New Roman" w:cs="Arial" w:ascii="Verdana" w:hAnsi="Verdana"/>
          <w:b w:val="false"/>
          <w:bCs w:val="false"/>
          <w:i w:val="false"/>
          <w:iCs w:val="false"/>
          <w:color w:val="000000"/>
          <w:sz w:val="20"/>
          <w:szCs w:val="20"/>
        </w:rPr>
        <w:t xml:space="preserve"> Acompanhar e fiscalizar o cumprimento das obrigações da Contratada.</w:t>
      </w:r>
    </w:p>
    <w:p>
      <w:pPr>
        <w:pStyle w:val="Normal"/>
        <w:tabs>
          <w:tab w:val="clear" w:pos="708"/>
          <w:tab w:val="left" w:pos="508" w:leader="none"/>
        </w:tabs>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6.6.</w:t>
      </w:r>
      <w:r>
        <w:rPr>
          <w:rFonts w:eastAsia="Times New Roman" w:cs="Arial" w:ascii="Verdana" w:hAnsi="Verdana"/>
          <w:b w:val="false"/>
          <w:bCs w:val="false"/>
          <w:i w:val="false"/>
          <w:iCs w:val="false"/>
          <w:color w:val="000000"/>
          <w:sz w:val="20"/>
          <w:szCs w:val="20"/>
        </w:rPr>
        <w:t xml:space="preserve"> Efetuar o pagamento à Contratada no valor correspondente à entrega do objeto, no prazo e forma estabelecidos no Edital e seus anexo. </w:t>
      </w:r>
    </w:p>
    <w:p>
      <w:pPr>
        <w:pStyle w:val="Normal"/>
        <w:spacing w:lineRule="auto" w:line="240"/>
        <w:ind w:hanging="0" w:left="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both"/>
        <w:rPr>
          <w:sz w:val="20"/>
          <w:szCs w:val="20"/>
        </w:rPr>
      </w:pPr>
      <w:r>
        <w:rPr>
          <w:rFonts w:cs="Arial" w:ascii="Verdana" w:hAnsi="Verdana"/>
          <w:b/>
          <w:bCs/>
          <w:i w:val="false"/>
          <w:iCs w:val="false"/>
          <w:color w:val="000000"/>
          <w:sz w:val="20"/>
          <w:szCs w:val="20"/>
          <w:shd w:fill="auto" w:val="clear"/>
        </w:rPr>
        <w:t>7. OBRIGAÇÕES DA CONTRATADA</w:t>
      </w:r>
    </w:p>
    <w:p>
      <w:pPr>
        <w:pStyle w:val="Normal"/>
        <w:spacing w:lineRule="auto" w:line="240"/>
        <w:ind w:hanging="0" w:left="0" w:right="0"/>
        <w:jc w:val="both"/>
        <w:rPr>
          <w:sz w:val="20"/>
          <w:szCs w:val="20"/>
        </w:rPr>
      </w:pPr>
      <w:r>
        <w:rPr>
          <w:rFonts w:cs="Arial" w:ascii="Verdana" w:hAnsi="Verdana"/>
          <w:b w:val="false"/>
          <w:bCs w:val="false"/>
          <w:i w:val="false"/>
          <w:iCs w:val="false"/>
          <w:color w:val="000000"/>
          <w:sz w:val="20"/>
          <w:szCs w:val="20"/>
          <w:shd w:fill="auto" w:val="clear"/>
        </w:rPr>
        <w:t xml:space="preserve">7.1.  Efetuar </w:t>
      </w:r>
      <w:r>
        <w:rPr>
          <w:rFonts w:eastAsia="Times New Roman" w:cs="Arial" w:ascii="Verdana" w:hAnsi="Verdana"/>
          <w:b w:val="false"/>
          <w:bCs w:val="false"/>
          <w:i w:val="false"/>
          <w:iCs w:val="false"/>
          <w:color w:val="000000"/>
          <w:kern w:val="0"/>
          <w:sz w:val="20"/>
          <w:szCs w:val="20"/>
          <w:shd w:fill="auto" w:val="clear"/>
          <w:lang w:val="pt-BR" w:eastAsia="pt-BR" w:bidi="ar-SA"/>
        </w:rPr>
        <w:t>a entrega</w:t>
      </w:r>
      <w:r>
        <w:rPr>
          <w:rFonts w:cs="Arial" w:ascii="Verdana" w:hAnsi="Verdana"/>
          <w:b w:val="false"/>
          <w:bCs w:val="false"/>
          <w:i w:val="false"/>
          <w:iCs w:val="false"/>
          <w:color w:val="000000"/>
          <w:sz w:val="20"/>
          <w:szCs w:val="20"/>
          <w:shd w:fill="auto" w:val="clear"/>
        </w:rPr>
        <w:t xml:space="preserve"> conforme especificações, prazo e local constantes no Termo de Referência e seus anexos, acompanhado da respectiva nota fiscal.</w:t>
      </w:r>
    </w:p>
    <w:p>
      <w:pPr>
        <w:pStyle w:val="Normal"/>
        <w:tabs>
          <w:tab w:val="clear" w:pos="708"/>
          <w:tab w:val="left" w:pos="5220"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7.2.</w:t>
      </w:r>
      <w:r>
        <w:rPr>
          <w:rFonts w:cs="Arial" w:ascii="Verdana" w:hAnsi="Verdana"/>
          <w:b w:val="false"/>
          <w:bCs w:val="false"/>
          <w:sz w:val="20"/>
          <w:szCs w:val="20"/>
          <w:lang w:val="pt-BR"/>
        </w:rPr>
        <w:t xml:space="preserve"> </w:t>
      </w:r>
      <w:r>
        <w:rPr>
          <w:rFonts w:cs="Arial" w:ascii="Verdana" w:hAnsi="Verdana"/>
          <w:b w:val="false"/>
          <w:bCs w:val="false"/>
          <w:sz w:val="20"/>
          <w:szCs w:val="20"/>
        </w:rPr>
        <w:t>Apresentar os documentos de cobrança, inclusive NOTA FISCAL, com a descrição dos objetos entregues.</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7.4. </w:t>
      </w:r>
      <w:r>
        <w:rPr>
          <w:rFonts w:cs="Arial" w:ascii="Verdana" w:hAnsi="Verdana"/>
          <w:b w:val="false"/>
          <w:bCs w:val="false"/>
          <w:sz w:val="20"/>
          <w:szCs w:val="20"/>
        </w:rPr>
        <w:t>Manter durante a vigência da contratação/aquisição todas as condições de habilitação e qualificação exigidas pela legislação em vigor.</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7.5. </w:t>
      </w:r>
      <w:r>
        <w:rPr>
          <w:rFonts w:cs="Arial" w:ascii="Verdana" w:hAnsi="Verdana"/>
          <w:b w:val="false"/>
          <w:bCs w:val="false"/>
          <w:sz w:val="20"/>
          <w:szCs w:val="20"/>
        </w:rPr>
        <w:t>Assumir total responsabilidade por danos causados ao CONTRATANTE ou terceiros.</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7.6</w:t>
      </w:r>
      <w:r>
        <w:rPr>
          <w:rFonts w:eastAsia="Times New Roman" w:cs="Arial" w:ascii="Verdana" w:hAnsi="Verdana"/>
          <w:b w:val="false"/>
          <w:bCs w:val="false"/>
          <w:i w:val="false"/>
          <w:iCs w:val="false"/>
          <w:color w:val="000000"/>
          <w:sz w:val="20"/>
          <w:szCs w:val="20"/>
        </w:rPr>
        <w:t xml:space="preserve">. </w:t>
      </w:r>
      <w:r>
        <w:rPr>
          <w:rFonts w:cs="Arial" w:ascii="Verdana" w:hAnsi="Verdana"/>
          <w:b w:val="false"/>
          <w:bCs w:val="false"/>
          <w:i w:val="false"/>
          <w:iCs w:val="false"/>
          <w:color w:val="000000"/>
          <w:sz w:val="20"/>
          <w:szCs w:val="20"/>
        </w:rPr>
        <w:t>A nota fiscal deverá ser acompanhada pelas Certidões de Regularidades Fiscais.</w:t>
      </w:r>
    </w:p>
    <w:p>
      <w:pPr>
        <w:pStyle w:val="Normal"/>
        <w:tabs>
          <w:tab w:val="clear" w:pos="708"/>
          <w:tab w:val="left" w:pos="0" w:leader="none"/>
        </w:tabs>
        <w:spacing w:lineRule="auto" w:line="240"/>
        <w:ind w:hanging="0" w:left="0" w:right="0"/>
        <w:jc w:val="both"/>
        <w:rPr>
          <w:rFonts w:ascii="Verdana" w:hAnsi="Verdana"/>
          <w:sz w:val="20"/>
          <w:szCs w:val="20"/>
        </w:rPr>
      </w:pPr>
      <w:r>
        <w:rPr>
          <w:rFonts w:ascii="Verdana" w:hAnsi="Verdana"/>
          <w:sz w:val="20"/>
          <w:szCs w:val="20"/>
        </w:rPr>
      </w:r>
    </w:p>
    <w:p>
      <w:pPr>
        <w:pStyle w:val="Normal"/>
        <w:spacing w:lineRule="auto" w:line="240"/>
        <w:ind w:hanging="0" w:left="0" w:right="0"/>
        <w:jc w:val="both"/>
        <w:rPr>
          <w:sz w:val="20"/>
          <w:szCs w:val="20"/>
        </w:rPr>
      </w:pPr>
      <w:r>
        <w:rPr>
          <w:rFonts w:ascii="Verdana" w:hAnsi="Verdana"/>
          <w:b/>
          <w:bCs/>
          <w:sz w:val="20"/>
          <w:szCs w:val="20"/>
        </w:rPr>
        <w:t>8. CRITÉRIOS DE PAGAMENTO</w:t>
      </w:r>
    </w:p>
    <w:p>
      <w:pPr>
        <w:pStyle w:val="Normal"/>
        <w:spacing w:lineRule="auto" w:line="240"/>
        <w:ind w:hanging="0" w:left="-22" w:right="0"/>
        <w:jc w:val="both"/>
        <w:rPr>
          <w:sz w:val="20"/>
          <w:szCs w:val="20"/>
        </w:rPr>
      </w:pPr>
      <w:r>
        <w:rPr>
          <w:rFonts w:ascii="Verdana" w:hAnsi="Verdana"/>
          <w:b w:val="false"/>
          <w:bCs w:val="false"/>
          <w:sz w:val="20"/>
          <w:szCs w:val="20"/>
          <w:lang w:eastAsia="en-US"/>
        </w:rPr>
        <w:t>8.1</w:t>
      </w:r>
      <w:r>
        <w:rPr>
          <w:rFonts w:ascii="Verdana" w:hAnsi="Verdana"/>
          <w:b/>
          <w:bCs/>
          <w:sz w:val="20"/>
          <w:szCs w:val="20"/>
          <w:lang w:eastAsia="en-US"/>
        </w:rPr>
        <w:t>.</w:t>
      </w:r>
      <w:r>
        <w:rPr>
          <w:rFonts w:ascii="Verdana" w:hAnsi="Verdana"/>
          <w:sz w:val="20"/>
          <w:szCs w:val="20"/>
          <w:lang w:eastAsia="en-US"/>
        </w:rPr>
        <w:t xml:space="preserve"> Recebida a Nota Fiscal ou documento de cobrança equivalente, correrá o prazo de </w:t>
      </w:r>
      <w:r>
        <w:rPr>
          <w:rFonts w:eastAsia="Times New Roman" w:cs="Times New Roman" w:ascii="Verdana" w:hAnsi="Verdana"/>
          <w:sz w:val="20"/>
          <w:szCs w:val="20"/>
          <w:lang w:eastAsia="en-US"/>
        </w:rPr>
        <w:t>(30) trinta</w:t>
      </w:r>
      <w:r>
        <w:rPr>
          <w:rFonts w:ascii="Verdana" w:hAnsi="Verdana"/>
          <w:sz w:val="20"/>
          <w:szCs w:val="20"/>
          <w:lang w:eastAsia="en-US"/>
        </w:rPr>
        <w:t xml:space="preserve"> dias úteis para fins de liquidação, na forma desta seção, prorrogáveis por igual período.</w:t>
      </w:r>
    </w:p>
    <w:p>
      <w:pPr>
        <w:pStyle w:val="Normal"/>
        <w:spacing w:lineRule="auto" w:line="240"/>
        <w:ind w:hanging="0" w:left="-22" w:right="0"/>
        <w:jc w:val="both"/>
        <w:rPr/>
      </w:pPr>
      <w:r>
        <w:rPr>
          <w:rFonts w:ascii="Verdana" w:hAnsi="Verdana"/>
          <w:b w:val="false"/>
          <w:bCs w:val="false"/>
          <w:sz w:val="20"/>
          <w:szCs w:val="20"/>
        </w:rPr>
        <w:t>8.2.</w:t>
      </w:r>
      <w:r>
        <w:rPr>
          <w:rFonts w:ascii="Verdana" w:hAnsi="Verdana"/>
          <w:sz w:val="20"/>
          <w:szCs w:val="20"/>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
          <w:sz w:val="20"/>
          <w:u w:val="none"/>
          <w:szCs w:val="20"/>
          <w:rFonts w:ascii="Verdana" w:hAnsi="Verdana"/>
          <w:color w:val="000000"/>
        </w:rPr>
        <w:instrText xml:space="preserve"> HYPERLINK "http://www.planalto.gov.br/ccivil_03/_ato2019-2022/2021/lei/L14133.htm" \l "art75"</w:instrText>
      </w:r>
      <w:r>
        <w:rPr>
          <w:rStyle w:val="ListLabel19"/>
          <w:sz w:val="20"/>
          <w:u w:val="none"/>
          <w:szCs w:val="20"/>
          <w:rFonts w:ascii="Verdana" w:hAnsi="Verdana"/>
          <w:color w:val="000000"/>
        </w:rPr>
        <w:fldChar w:fldCharType="separate"/>
      </w:r>
      <w:r>
        <w:rPr>
          <w:rStyle w:val="ListLabel19"/>
          <w:rFonts w:ascii="Verdana" w:hAnsi="Verdana"/>
          <w:color w:val="000000"/>
          <w:sz w:val="20"/>
          <w:szCs w:val="20"/>
          <w:u w:val="none"/>
        </w:rPr>
        <w:t xml:space="preserve">inciso II do art. 75 da Lei nº 14.133, de </w:t>
      </w:r>
      <w:r>
        <w:rPr>
          <w:rStyle w:val="ListLabel19"/>
          <w:sz w:val="20"/>
          <w:u w:val="none"/>
          <w:szCs w:val="20"/>
          <w:rFonts w:ascii="Verdana" w:hAnsi="Verdana"/>
          <w:color w:val="000000"/>
        </w:rPr>
        <w:fldChar w:fldCharType="end"/>
      </w:r>
      <w:r>
        <w:rPr>
          <w:rFonts w:ascii="Verdana" w:hAnsi="Verdana"/>
          <w:b w:val="false"/>
          <w:bCs w:val="false"/>
          <w:color w:val="000000"/>
          <w:sz w:val="20"/>
          <w:szCs w:val="20"/>
          <w:u w:val="none"/>
        </w:rPr>
        <w:t>2021.</w:t>
      </w:r>
    </w:p>
    <w:p>
      <w:pPr>
        <w:pStyle w:val="Normal"/>
        <w:spacing w:lineRule="auto" w:line="240"/>
        <w:ind w:hanging="0" w:left="-22" w:right="0"/>
        <w:jc w:val="both"/>
        <w:rPr>
          <w:sz w:val="20"/>
          <w:szCs w:val="20"/>
        </w:rPr>
      </w:pPr>
      <w:r>
        <w:rPr>
          <w:rFonts w:ascii="Verdana" w:hAnsi="Verdana"/>
          <w:b w:val="false"/>
          <w:bCs w:val="false"/>
          <w:sz w:val="20"/>
          <w:szCs w:val="20"/>
        </w:rPr>
        <w:t xml:space="preserve">8.3. </w:t>
      </w:r>
      <w:r>
        <w:rPr>
          <w:rFonts w:ascii="Verdana" w:hAnsi="Verdana"/>
          <w:sz w:val="20"/>
          <w:szCs w:val="20"/>
        </w:rPr>
        <w:t xml:space="preserve">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O prazo de validade;</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xml:space="preserve">- A data da emissão;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xml:space="preserve">- Os dados do contrato e do órgão contratante;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xml:space="preserve">- O período respectivo de execução do contrato;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xml:space="preserve">- O valor a pagar; e </w:t>
      </w:r>
    </w:p>
    <w:p>
      <w:pPr>
        <w:pStyle w:val="Normal"/>
        <w:tabs>
          <w:tab w:val="clear" w:pos="708"/>
          <w:tab w:val="left" w:pos="563" w:leader="none"/>
        </w:tabs>
        <w:spacing w:lineRule="auto" w:line="240"/>
        <w:ind w:hanging="0" w:left="432" w:right="0"/>
        <w:jc w:val="both"/>
        <w:rPr>
          <w:sz w:val="20"/>
          <w:szCs w:val="20"/>
        </w:rPr>
      </w:pPr>
      <w:r>
        <w:rPr>
          <w:rFonts w:ascii="Verdana" w:hAnsi="Verdana"/>
          <w:b w:val="false"/>
          <w:bCs w:val="false"/>
          <w:sz w:val="20"/>
          <w:szCs w:val="20"/>
        </w:rPr>
        <w:t>- Eventual destaque do valor de retenções tributárias cabíveis.</w:t>
      </w:r>
    </w:p>
    <w:p>
      <w:pPr>
        <w:pStyle w:val="Normal"/>
        <w:tabs>
          <w:tab w:val="clear" w:pos="708"/>
          <w:tab w:val="left" w:pos="563" w:leader="none"/>
        </w:tabs>
        <w:spacing w:lineRule="auto" w:line="240"/>
        <w:ind w:hanging="0" w:left="-22" w:right="0"/>
        <w:jc w:val="both"/>
        <w:rPr>
          <w:sz w:val="20"/>
          <w:szCs w:val="20"/>
        </w:rPr>
      </w:pPr>
      <w:r>
        <w:rPr>
          <w:rFonts w:ascii="Verdana" w:hAnsi="Verdana"/>
          <w:b w:val="false"/>
          <w:bCs w:val="false"/>
          <w:sz w:val="20"/>
          <w:szCs w:val="20"/>
        </w:rPr>
        <w:t>8.4. Havendo erro na apresentação da nota fiscal ou instrumento de cobrança equ</w:t>
      </w:r>
      <w:r>
        <w:rPr>
          <w:rFonts w:ascii="Verdana" w:hAnsi="Verdana"/>
          <w:sz w:val="20"/>
          <w:szCs w:val="20"/>
        </w:rPr>
        <w:t>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hanging="0" w:left="-22" w:right="0"/>
        <w:jc w:val="both"/>
        <w:rPr/>
      </w:pPr>
      <w:r>
        <w:rPr>
          <w:rFonts w:ascii="Verdana" w:hAnsi="Verdana"/>
          <w:b w:val="false"/>
          <w:bCs w:val="false"/>
          <w:sz w:val="20"/>
          <w:szCs w:val="20"/>
        </w:rPr>
        <w:t>8.5.</w:t>
      </w:r>
      <w:r>
        <w:rPr>
          <w:rFonts w:ascii="Verdana" w:hAnsi="Verdana"/>
          <w:b/>
          <w:bCs/>
          <w:sz w:val="20"/>
          <w:szCs w:val="20"/>
        </w:rPr>
        <w:t xml:space="preserve"> </w:t>
      </w:r>
      <w:r>
        <w:rPr>
          <w:rFonts w:ascii="Verdana" w:hAnsi="Verdana"/>
          <w:sz w:val="20"/>
          <w:szCs w:val="20"/>
        </w:rPr>
        <w:t>A</w:t>
      </w:r>
      <w:r>
        <w:rPr>
          <w:rFonts w:ascii="Verdana" w:hAnsi="Verdana"/>
          <w:sz w:val="20"/>
          <w:szCs w:val="20"/>
          <w:lang w:eastAsia="en-US"/>
        </w:rPr>
        <w:t xml:space="preserve"> nota fiscal ou instrumento de cobrança equivalente deverá ser obrigatoriamente </w:t>
      </w:r>
      <w:r>
        <w:rPr>
          <w:rFonts w:ascii="Verdana" w:hAnsi="Verdana"/>
          <w:b w:val="false"/>
          <w:bCs w:val="false"/>
          <w:sz w:val="20"/>
          <w:szCs w:val="20"/>
          <w:lang w:eastAsia="en-US"/>
        </w:rPr>
        <w:t>acompanhado da comprovação da regularidade fiscal</w:t>
      </w:r>
      <w:r>
        <w:rPr>
          <w:rStyle w:val="Hyperlink"/>
          <w:rFonts w:ascii="Verdana" w:hAnsi="Verdana"/>
          <w:b w:val="false"/>
          <w:bCs w:val="false"/>
          <w:sz w:val="20"/>
          <w:szCs w:val="20"/>
          <w:lang w:eastAsia="en-US"/>
        </w:rPr>
        <w:t>.</w:t>
      </w:r>
    </w:p>
    <w:p>
      <w:pPr>
        <w:pStyle w:val="Normal"/>
        <w:spacing w:lineRule="auto" w:line="240"/>
        <w:ind w:hanging="0" w:left="-22" w:right="0"/>
        <w:jc w:val="both"/>
        <w:rPr>
          <w:sz w:val="20"/>
          <w:szCs w:val="20"/>
        </w:rPr>
      </w:pPr>
      <w:r>
        <w:rPr>
          <w:rFonts w:ascii="Verdana" w:hAnsi="Verdana"/>
          <w:b w:val="false"/>
          <w:bCs w:val="false"/>
          <w:sz w:val="20"/>
          <w:szCs w:val="20"/>
        </w:rPr>
        <w:t xml:space="preserve">8.6. </w:t>
      </w:r>
      <w:r>
        <w:rPr>
          <w:rFonts w:ascii="Verdana" w:hAnsi="Verdana"/>
          <w:sz w:val="20"/>
          <w:szCs w:val="20"/>
        </w:rPr>
        <w:t>O pagamento será efetuado no prazo de até 30 (trinta) dias úteis contados da finalização da liquidação da despesa.</w:t>
      </w:r>
    </w:p>
    <w:p>
      <w:pPr>
        <w:pStyle w:val="Normal"/>
        <w:spacing w:lineRule="auto" w:line="240"/>
        <w:ind w:hanging="0" w:left="-22" w:right="0"/>
        <w:jc w:val="both"/>
        <w:rPr>
          <w:sz w:val="20"/>
          <w:szCs w:val="20"/>
        </w:rPr>
      </w:pPr>
      <w:r>
        <w:rPr>
          <w:rFonts w:ascii="Verdana" w:hAnsi="Verdana"/>
          <w:b w:val="false"/>
          <w:bCs w:val="false"/>
          <w:sz w:val="20"/>
          <w:szCs w:val="20"/>
        </w:rPr>
        <w:t>8.7.</w:t>
      </w:r>
      <w:r>
        <w:rPr>
          <w:rFonts w:ascii="Verdana" w:hAnsi="Verdana"/>
          <w:b/>
          <w:bCs/>
          <w:sz w:val="20"/>
          <w:szCs w:val="20"/>
        </w:rPr>
        <w:t xml:space="preserve"> </w:t>
      </w:r>
      <w:r>
        <w:rPr>
          <w:rFonts w:ascii="Verdana" w:hAnsi="Verdana"/>
          <w:sz w:val="20"/>
          <w:szCs w:val="20"/>
        </w:rPr>
        <w:t>O pagamento será realizado por meio de ordem bancária, para crédito em banco, agência e conta corrente indicados pelo contratado.</w:t>
      </w:r>
    </w:p>
    <w:p>
      <w:pPr>
        <w:pStyle w:val="Normal"/>
        <w:spacing w:lineRule="auto" w:line="240"/>
        <w:ind w:hanging="0" w:left="-22" w:right="0"/>
        <w:jc w:val="both"/>
        <w:rPr>
          <w:sz w:val="20"/>
          <w:szCs w:val="20"/>
        </w:rPr>
      </w:pPr>
      <w:r>
        <w:rPr>
          <w:rFonts w:ascii="Verdana" w:hAnsi="Verdana"/>
          <w:b w:val="false"/>
          <w:bCs w:val="false"/>
          <w:sz w:val="20"/>
          <w:szCs w:val="20"/>
        </w:rPr>
        <w:t>8.8.</w:t>
      </w:r>
      <w:r>
        <w:rPr>
          <w:rFonts w:ascii="Verdana" w:hAnsi="Verdana"/>
          <w:sz w:val="20"/>
          <w:szCs w:val="20"/>
        </w:rPr>
        <w:t xml:space="preserve"> Será considerada data do pagamento o dia em que constar como emitida a ordem </w:t>
      </w:r>
      <w:r>
        <w:rPr>
          <w:rFonts w:ascii="Verdana" w:hAnsi="Verdana"/>
          <w:b w:val="false"/>
          <w:bCs w:val="false"/>
          <w:sz w:val="20"/>
          <w:szCs w:val="20"/>
        </w:rPr>
        <w:t>bancária para pagamento.</w:t>
      </w:r>
    </w:p>
    <w:p>
      <w:pPr>
        <w:pStyle w:val="Normal"/>
        <w:spacing w:lineRule="auto" w:line="240"/>
        <w:ind w:hanging="0" w:left="-79" w:right="0"/>
        <w:jc w:val="both"/>
        <w:rPr>
          <w:sz w:val="20"/>
          <w:szCs w:val="20"/>
        </w:rPr>
      </w:pPr>
      <w:r>
        <w:rPr>
          <w:rFonts w:ascii="Verdana" w:hAnsi="Verdana"/>
          <w:b w:val="false"/>
          <w:bCs w:val="false"/>
          <w:sz w:val="20"/>
          <w:szCs w:val="20"/>
        </w:rPr>
        <w:t xml:space="preserve"> </w:t>
      </w:r>
      <w:r>
        <w:rPr>
          <w:rFonts w:ascii="Verdana" w:hAnsi="Verdana"/>
          <w:b w:val="false"/>
          <w:bCs w:val="false"/>
          <w:sz w:val="20"/>
          <w:szCs w:val="20"/>
        </w:rPr>
        <w:t>9.9.</w:t>
      </w:r>
      <w:r>
        <w:rPr>
          <w:rFonts w:ascii="Verdana" w:hAnsi="Verdana"/>
          <w:b/>
          <w:bCs/>
          <w:sz w:val="20"/>
          <w:szCs w:val="20"/>
        </w:rPr>
        <w:t xml:space="preserve"> </w:t>
      </w:r>
      <w:r>
        <w:rPr>
          <w:rFonts w:ascii="Verdana" w:hAnsi="Verdana"/>
          <w:sz w:val="20"/>
          <w:szCs w:val="20"/>
        </w:rPr>
        <w:t>Quando do pagamento, será efetuada a retenção tributária prevista na legislação aplicável.</w:t>
      </w:r>
    </w:p>
    <w:p>
      <w:pPr>
        <w:pStyle w:val="Normal"/>
        <w:tabs>
          <w:tab w:val="clear" w:pos="708"/>
          <w:tab w:val="left" w:pos="563" w:leader="none"/>
        </w:tabs>
        <w:spacing w:lineRule="auto" w:line="240"/>
        <w:ind w:hanging="0" w:left="0" w:right="0"/>
        <w:jc w:val="both"/>
        <w:rPr/>
      </w:pPr>
      <w:r>
        <w:rPr>
          <w:rFonts w:ascii="Verdana" w:hAnsi="Verdana"/>
          <w:b w:val="false"/>
          <w:bCs w:val="false"/>
          <w:sz w:val="20"/>
          <w:szCs w:val="20"/>
          <w:lang w:eastAsia="en-US"/>
        </w:rPr>
        <w:t>8.10.</w:t>
      </w:r>
      <w:r>
        <w:rPr>
          <w:rFonts w:ascii="Verdana" w:hAnsi="Verdana"/>
          <w:sz w:val="20"/>
          <w:szCs w:val="20"/>
          <w:lang w:eastAsia="en-US"/>
        </w:rPr>
        <w:t xml:space="preserve"> O contratado regularmente optante pelo Simples Nacional, nos termos da </w:t>
      </w:r>
      <w:hyperlink r:id="rId2">
        <w:r>
          <w:rPr>
            <w:rStyle w:val="ListLabel20"/>
            <w:rFonts w:ascii="Verdana" w:hAnsi="Verdana"/>
            <w:sz w:val="20"/>
            <w:szCs w:val="20"/>
            <w:u w:val="non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240"/>
        <w:ind w:hanging="0" w:left="0" w:right="0"/>
        <w:jc w:val="both"/>
        <w:rPr>
          <w:sz w:val="20"/>
          <w:szCs w:val="20"/>
        </w:rPr>
      </w:pPr>
      <w:r>
        <w:rPr>
          <w:rFonts w:ascii="Verdana" w:hAnsi="Verdana"/>
          <w:b w:val="false"/>
          <w:bCs w:val="false"/>
          <w:sz w:val="20"/>
          <w:szCs w:val="20"/>
          <w:lang w:eastAsia="en-US"/>
        </w:rPr>
        <w:t>8 .11. Conforme Decreto Municipal nº 3.86/2023 será retido o Imposto de Renda na Fonte nos pagamentos efetuados por Órgãos, Autarquias e Fundações instituídas  e mantidas pelo Município de São Gabriel da Palha a pessoas jurídicas pelo fornecimento de bens/prestação de serviços.</w:t>
      </w:r>
    </w:p>
    <w:p>
      <w:pPr>
        <w:pStyle w:val="Normal"/>
        <w:spacing w:lineRule="auto" w:line="240"/>
        <w:jc w:val="both"/>
        <w:rPr>
          <w:rFonts w:ascii="Verdana" w:hAnsi="Verdana"/>
          <w:b/>
          <w:bCs/>
          <w:sz w:val="20"/>
          <w:szCs w:val="20"/>
        </w:rPr>
      </w:pPr>
      <w:r>
        <w:rPr>
          <w:rFonts w:ascii="Verdana" w:hAnsi="Verdana"/>
          <w:b/>
          <w:bCs/>
          <w:sz w:val="20"/>
          <w:szCs w:val="20"/>
        </w:rPr>
      </w:r>
    </w:p>
    <w:p>
      <w:pPr>
        <w:pStyle w:val="Normal"/>
        <w:spacing w:lineRule="auto" w:line="240"/>
        <w:ind w:hanging="0" w:left="0" w:right="0"/>
        <w:jc w:val="both"/>
        <w:rPr>
          <w:sz w:val="20"/>
          <w:szCs w:val="20"/>
        </w:rPr>
      </w:pPr>
      <w:r>
        <w:rPr>
          <w:rFonts w:ascii="Verdana" w:hAnsi="Verdana"/>
          <w:b/>
          <w:bCs/>
          <w:iCs/>
          <w:sz w:val="20"/>
          <w:szCs w:val="20"/>
          <w:shd w:fill="auto" w:val="clear"/>
        </w:rPr>
        <w:t>9. DAS SANÇÕES</w:t>
      </w:r>
    </w:p>
    <w:p>
      <w:pPr>
        <w:pStyle w:val="Normal"/>
        <w:spacing w:lineRule="auto" w:line="240"/>
        <w:ind w:hanging="0" w:left="0" w:right="0"/>
        <w:jc w:val="both"/>
        <w:rPr>
          <w:sz w:val="20"/>
          <w:szCs w:val="20"/>
        </w:rPr>
      </w:pPr>
      <w:r>
        <w:rPr>
          <w:rFonts w:ascii="Verdana" w:hAnsi="Verdana"/>
          <w:iCs/>
          <w:sz w:val="20"/>
          <w:szCs w:val="20"/>
          <w:shd w:fill="auto" w:val="clear"/>
        </w:rPr>
        <w:t>9.1. Comete infração administrativa o fornecedor/prestador de serviço que cometer quaisquer das infrações previstas no art. 155 da Lei nº 14.133, de 2021, quais sejam:</w:t>
      </w:r>
    </w:p>
    <w:p>
      <w:pPr>
        <w:pStyle w:val="Normal"/>
        <w:spacing w:lineRule="auto" w:line="240"/>
        <w:ind w:hanging="0" w:left="0" w:right="0"/>
        <w:jc w:val="both"/>
        <w:rPr>
          <w:sz w:val="20"/>
          <w:szCs w:val="20"/>
        </w:rPr>
      </w:pPr>
      <w:r>
        <w:rPr>
          <w:rFonts w:ascii="Verdana" w:hAnsi="Verdana"/>
          <w:iCs/>
          <w:sz w:val="20"/>
          <w:szCs w:val="20"/>
          <w:shd w:fill="auto" w:val="clear"/>
        </w:rPr>
        <w:t>9.1.1. Dar causa à inexecução parcial do contrato.</w:t>
      </w:r>
    </w:p>
    <w:p>
      <w:pPr>
        <w:pStyle w:val="Normal"/>
        <w:spacing w:lineRule="auto" w:line="240"/>
        <w:ind w:hanging="0" w:left="0" w:right="0"/>
        <w:jc w:val="both"/>
        <w:rPr>
          <w:sz w:val="20"/>
          <w:szCs w:val="20"/>
        </w:rPr>
      </w:pPr>
      <w:r>
        <w:rPr>
          <w:rFonts w:ascii="Verdana" w:hAnsi="Verdana"/>
          <w:iCs/>
          <w:sz w:val="20"/>
          <w:szCs w:val="20"/>
          <w:shd w:fill="auto" w:val="clear"/>
        </w:rPr>
        <w:t>9.1.2. Dar causa à inexecução parcial que cause grave dano à Administração, ao funcionamento dos serviços públicos ou ao interesse coletivo.</w:t>
      </w:r>
    </w:p>
    <w:p>
      <w:pPr>
        <w:pStyle w:val="Normal"/>
        <w:spacing w:lineRule="auto" w:line="240"/>
        <w:ind w:hanging="0" w:left="0" w:right="0"/>
        <w:jc w:val="both"/>
        <w:rPr>
          <w:sz w:val="20"/>
          <w:szCs w:val="20"/>
        </w:rPr>
      </w:pPr>
      <w:r>
        <w:rPr>
          <w:rFonts w:ascii="Verdana" w:hAnsi="Verdana"/>
          <w:iCs/>
          <w:sz w:val="20"/>
          <w:szCs w:val="20"/>
          <w:shd w:fill="auto" w:val="clear"/>
        </w:rPr>
        <w:t>9.1.3. Dar causa à inexecução total;</w:t>
      </w:r>
    </w:p>
    <w:p>
      <w:pPr>
        <w:pStyle w:val="Normal"/>
        <w:spacing w:lineRule="auto" w:line="240"/>
        <w:ind w:hanging="0" w:left="0" w:right="0"/>
        <w:jc w:val="both"/>
        <w:rPr>
          <w:sz w:val="20"/>
          <w:szCs w:val="20"/>
        </w:rPr>
      </w:pPr>
      <w:r>
        <w:rPr>
          <w:rFonts w:ascii="Verdana" w:hAnsi="Verdana"/>
          <w:iCs/>
          <w:sz w:val="20"/>
          <w:szCs w:val="20"/>
          <w:shd w:fill="auto" w:val="clear"/>
        </w:rPr>
        <w:t>9.1.4. Deixar de entregar a documentação exigida para o certame.</w:t>
      </w:r>
    </w:p>
    <w:p>
      <w:pPr>
        <w:pStyle w:val="Normal"/>
        <w:spacing w:lineRule="auto" w:line="240"/>
        <w:ind w:hanging="0" w:left="0" w:right="0"/>
        <w:jc w:val="both"/>
        <w:rPr>
          <w:sz w:val="20"/>
          <w:szCs w:val="20"/>
        </w:rPr>
      </w:pPr>
      <w:r>
        <w:rPr>
          <w:rFonts w:ascii="Verdana" w:hAnsi="Verdana"/>
          <w:iCs/>
          <w:sz w:val="20"/>
          <w:szCs w:val="20"/>
          <w:shd w:fill="auto" w:val="clear"/>
        </w:rPr>
        <w:t>9.1.5. Não manter a proposta, salvo em decorrência de fato superveniente devidamente justificado.</w:t>
      </w:r>
    </w:p>
    <w:p>
      <w:pPr>
        <w:pStyle w:val="Normal"/>
        <w:spacing w:lineRule="auto" w:line="240"/>
        <w:ind w:hanging="0" w:left="0" w:right="0"/>
        <w:jc w:val="both"/>
        <w:rPr>
          <w:sz w:val="20"/>
          <w:szCs w:val="20"/>
        </w:rPr>
      </w:pPr>
      <w:r>
        <w:rPr>
          <w:rFonts w:ascii="Verdana" w:hAnsi="Verdana"/>
          <w:iCs/>
          <w:sz w:val="20"/>
          <w:szCs w:val="20"/>
          <w:shd w:fill="auto" w:val="clear"/>
        </w:rPr>
        <w:t xml:space="preserve">9.1.6. Não celebrar o contrato ou não entregar a documentação exigida para a contratação, quando convocado dentro do prazo de validade de sua proposta. </w:t>
      </w:r>
    </w:p>
    <w:p>
      <w:pPr>
        <w:pStyle w:val="Normal"/>
        <w:spacing w:lineRule="auto" w:line="240"/>
        <w:ind w:hanging="0" w:left="0" w:right="0"/>
        <w:jc w:val="both"/>
        <w:rPr>
          <w:sz w:val="20"/>
          <w:szCs w:val="20"/>
        </w:rPr>
      </w:pPr>
      <w:r>
        <w:rPr>
          <w:rFonts w:ascii="Verdana" w:hAnsi="Verdana"/>
          <w:iCs/>
          <w:sz w:val="20"/>
          <w:szCs w:val="20"/>
          <w:shd w:fill="auto" w:val="clear"/>
        </w:rPr>
        <w:t>9.1.7. Ensejar o retardamento da execução ou da entrega do objeto sem motivo justificado,</w:t>
      </w:r>
    </w:p>
    <w:p>
      <w:pPr>
        <w:pStyle w:val="Normal"/>
        <w:spacing w:lineRule="auto" w:line="240"/>
        <w:ind w:hanging="0" w:left="0" w:right="0"/>
        <w:jc w:val="both"/>
        <w:rPr>
          <w:sz w:val="20"/>
          <w:szCs w:val="20"/>
        </w:rPr>
      </w:pPr>
      <w:r>
        <w:rPr>
          <w:rFonts w:ascii="Verdana" w:hAnsi="Verdana"/>
          <w:iCs/>
          <w:sz w:val="20"/>
          <w:szCs w:val="20"/>
          <w:shd w:fill="auto" w:val="clear"/>
        </w:rPr>
        <w:t>9.1.8. Apresentar declaração ou documentação falsa exigida para o certame ou prestar declaração falsa durante a dispensa eletrônica ou a execução do objeto.</w:t>
      </w:r>
    </w:p>
    <w:p>
      <w:pPr>
        <w:pStyle w:val="Normal"/>
        <w:spacing w:lineRule="auto" w:line="240"/>
        <w:ind w:hanging="0" w:left="0" w:right="0"/>
        <w:jc w:val="both"/>
        <w:rPr>
          <w:sz w:val="20"/>
          <w:szCs w:val="20"/>
        </w:rPr>
      </w:pPr>
      <w:r>
        <w:rPr>
          <w:rFonts w:ascii="Verdana" w:hAnsi="Verdana"/>
          <w:iCs/>
          <w:sz w:val="20"/>
          <w:szCs w:val="20"/>
          <w:shd w:fill="auto" w:val="clear"/>
        </w:rPr>
        <w:t>9.1.9. Fraudar a dispensa eletrônica ou praticar ato fraudulento na execução do objeto.</w:t>
      </w:r>
    </w:p>
    <w:p>
      <w:pPr>
        <w:pStyle w:val="Normal"/>
        <w:spacing w:lineRule="auto" w:line="240"/>
        <w:ind w:hanging="0" w:left="0" w:right="0"/>
        <w:jc w:val="both"/>
        <w:rPr>
          <w:sz w:val="20"/>
          <w:szCs w:val="20"/>
        </w:rPr>
      </w:pPr>
      <w:r>
        <w:rPr>
          <w:rFonts w:ascii="Verdana" w:hAnsi="Verdana"/>
          <w:iCs/>
          <w:sz w:val="20"/>
          <w:szCs w:val="20"/>
          <w:shd w:fill="auto" w:val="clear"/>
        </w:rPr>
        <w:t>9.1.10. Comportar-se de modo inidôneo ou cometer fraude de qualquer natureza.</w:t>
      </w:r>
    </w:p>
    <w:p>
      <w:pPr>
        <w:pStyle w:val="Normal"/>
        <w:spacing w:lineRule="auto" w:line="240"/>
        <w:ind w:hanging="0" w:left="0" w:right="0"/>
        <w:jc w:val="both"/>
        <w:rPr>
          <w:sz w:val="20"/>
          <w:szCs w:val="20"/>
        </w:rPr>
      </w:pPr>
      <w:r>
        <w:rPr>
          <w:rFonts w:ascii="Verdana" w:hAnsi="Verdana"/>
          <w:iCs/>
          <w:sz w:val="20"/>
          <w:szCs w:val="20"/>
          <w:shd w:fill="auto" w:val="clear"/>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hanging="0" w:left="0" w:right="0"/>
        <w:jc w:val="both"/>
        <w:rPr>
          <w:sz w:val="20"/>
          <w:szCs w:val="20"/>
        </w:rPr>
      </w:pPr>
      <w:r>
        <w:rPr>
          <w:rFonts w:ascii="Verdana" w:hAnsi="Verdana"/>
          <w:iCs/>
          <w:sz w:val="20"/>
          <w:szCs w:val="20"/>
          <w:shd w:fill="auto" w:val="clear"/>
        </w:rPr>
        <w:t>9.1.11. Praticar atos ilícitos com vistas a frustrar os objetivos deste certame.</w:t>
      </w:r>
    </w:p>
    <w:p>
      <w:pPr>
        <w:pStyle w:val="Normal"/>
        <w:spacing w:lineRule="auto" w:line="240"/>
        <w:ind w:hanging="0" w:left="0" w:right="0"/>
        <w:jc w:val="both"/>
        <w:rPr>
          <w:sz w:val="20"/>
          <w:szCs w:val="20"/>
        </w:rPr>
      </w:pPr>
      <w:r>
        <w:rPr>
          <w:rFonts w:ascii="Verdana" w:hAnsi="Verdana"/>
          <w:iCs/>
          <w:sz w:val="20"/>
          <w:szCs w:val="20"/>
          <w:shd w:fill="auto" w:val="clear"/>
        </w:rPr>
        <w:t>9.1.12. Praticar ato lesivo previsto no art. 5º da Lei nº 12.846, de 1º de agosto de 2013.</w:t>
      </w:r>
    </w:p>
    <w:p>
      <w:pPr>
        <w:pStyle w:val="Normal"/>
        <w:spacing w:lineRule="auto" w:line="240"/>
        <w:ind w:hanging="0" w:left="0" w:right="0"/>
        <w:jc w:val="both"/>
        <w:rPr>
          <w:sz w:val="20"/>
          <w:szCs w:val="20"/>
        </w:rPr>
      </w:pPr>
      <w:r>
        <w:rPr>
          <w:rFonts w:ascii="Verdana" w:hAnsi="Verdana"/>
          <w:iCs/>
          <w:sz w:val="20"/>
          <w:szCs w:val="20"/>
          <w:shd w:fill="auto" w:val="clear"/>
        </w:rPr>
        <w:t>9.2. O fornecedor que cometer qualquer das infrações discriminadas nos subitens anteriores ficará sujeito, sem prejuízo da responsabilidade civil e criminal, às seguintes sanções:</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 xml:space="preserve">         </w:t>
      </w:r>
      <w:r>
        <w:rPr>
          <w:rFonts w:ascii="Verdana" w:hAnsi="Verdana"/>
          <w:iCs/>
          <w:sz w:val="20"/>
          <w:szCs w:val="20"/>
          <w:shd w:fill="auto" w:val="clear"/>
        </w:rPr>
        <w:t>a) Advertência pela falta do subitem 9.1.1 deste Termo de Referência, quando não se justificar a imposição de penalidade mais grave.</w:t>
      </w:r>
    </w:p>
    <w:p>
      <w:pPr>
        <w:pStyle w:val="Normal"/>
        <w:widowControl/>
        <w:suppressAutoHyphens w:val="true"/>
        <w:bidi w:val="0"/>
        <w:spacing w:lineRule="auto" w:line="240" w:before="0" w:after="0"/>
        <w:ind w:hanging="0" w:left="-57" w:right="0"/>
        <w:jc w:val="both"/>
        <w:rPr>
          <w:sz w:val="20"/>
          <w:szCs w:val="20"/>
        </w:rPr>
      </w:pPr>
      <w:r>
        <w:rPr>
          <w:rFonts w:ascii="Verdana" w:hAnsi="Verdana"/>
          <w:iCs/>
          <w:sz w:val="20"/>
          <w:szCs w:val="20"/>
          <w:shd w:fill="auto" w:val="clear"/>
        </w:rPr>
        <w:t xml:space="preserve">            </w:t>
      </w:r>
      <w:r>
        <w:rPr>
          <w:rFonts w:ascii="Verdana" w:hAnsi="Verdana"/>
          <w:iCs/>
          <w:sz w:val="20"/>
          <w:szCs w:val="20"/>
          <w:shd w:fill="auto" w:val="clear"/>
        </w:rPr>
        <w:t xml:space="preserve">b) Multa, calculada na forma do edital, com base no total do valor da contratação realizada de forma direta e será aplicada ao responsável por qualquer das infrações administrativas previstas no item 9.1 deste Termo de Referência, no percentual de 10% (dez por cento), na hipótese de cometimento das infrações previstas nos itens 9.1.1 a 9.1.7 e 20% (vinte por cento), se cometidas infrações previstas nos itens 9.1.8 a 9.1.12; </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 xml:space="preserve">                    </w:t>
      </w:r>
      <w:r>
        <w:rPr>
          <w:rFonts w:ascii="Verdana" w:hAnsi="Verdana"/>
          <w:iCs/>
          <w:sz w:val="20"/>
          <w:szCs w:val="20"/>
          <w:shd w:fill="auto" w:val="clear"/>
        </w:rPr>
        <w:t>b.1) O valor da multa poderá ser descontado das faturas devidas à CONTRATADA;</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 xml:space="preserve">                     </w:t>
      </w:r>
      <w:r>
        <w:rPr>
          <w:rFonts w:ascii="Verdana" w:hAnsi="Verdana"/>
          <w:iCs/>
          <w:sz w:val="20"/>
          <w:szCs w:val="20"/>
          <w:shd w:fill="auto" w:val="clear"/>
        </w:rPr>
        <w:t xml:space="preserve">b.2) A multa pode ser aplicada isoladamente ou juntamente com as penalidades definidas nos itens “c” e “d” abaixo: </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 xml:space="preserve">         </w:t>
      </w:r>
      <w:r>
        <w:rPr>
          <w:rFonts w:ascii="Verdana" w:hAnsi="Verdana"/>
          <w:iCs/>
          <w:sz w:val="20"/>
          <w:szCs w:val="20"/>
          <w:shd w:fill="auto" w:val="clear"/>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 xml:space="preserve">         </w:t>
      </w:r>
      <w:r>
        <w:rPr>
          <w:rFonts w:ascii="Verdana" w:hAnsi="Verdana"/>
          <w:iCs/>
          <w:sz w:val="20"/>
          <w:szCs w:val="20"/>
          <w:shd w:fill="auto" w:val="clear"/>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240"/>
        <w:ind w:hanging="0" w:left="0" w:right="0"/>
        <w:jc w:val="both"/>
        <w:rPr>
          <w:sz w:val="20"/>
          <w:szCs w:val="20"/>
        </w:rPr>
      </w:pPr>
      <w:r>
        <w:rPr>
          <w:rFonts w:ascii="Verdana" w:hAnsi="Verdana"/>
          <w:iCs/>
          <w:sz w:val="20"/>
          <w:szCs w:val="20"/>
          <w:shd w:fill="auto" w:val="clear"/>
        </w:rPr>
        <w:t>9.3. Na aplicação das sanções serão considerados:</w:t>
      </w:r>
    </w:p>
    <w:p>
      <w:pPr>
        <w:pStyle w:val="Normal"/>
        <w:spacing w:lineRule="auto" w:line="240"/>
        <w:ind w:hanging="0" w:left="0" w:right="0"/>
        <w:jc w:val="both"/>
        <w:rPr>
          <w:sz w:val="20"/>
          <w:szCs w:val="20"/>
        </w:rPr>
      </w:pPr>
      <w:r>
        <w:rPr>
          <w:rFonts w:ascii="Verdana" w:hAnsi="Verdana"/>
          <w:iCs/>
          <w:sz w:val="20"/>
          <w:szCs w:val="20"/>
          <w:shd w:fill="auto" w:val="clear"/>
        </w:rPr>
        <w:t>9.3.1. A natureza e a gravidade da infração cometida.</w:t>
      </w:r>
    </w:p>
    <w:p>
      <w:pPr>
        <w:pStyle w:val="Normal"/>
        <w:spacing w:lineRule="auto" w:line="240"/>
        <w:ind w:hanging="0" w:left="0" w:right="0"/>
        <w:jc w:val="both"/>
        <w:rPr>
          <w:sz w:val="20"/>
          <w:szCs w:val="20"/>
        </w:rPr>
      </w:pPr>
      <w:r>
        <w:rPr>
          <w:rFonts w:ascii="Verdana" w:hAnsi="Verdana"/>
          <w:iCs/>
          <w:sz w:val="20"/>
          <w:szCs w:val="20"/>
          <w:shd w:fill="auto" w:val="clear"/>
        </w:rPr>
        <w:t>9.3.2. As peculiaridades do caso concreto.</w:t>
      </w:r>
    </w:p>
    <w:p>
      <w:pPr>
        <w:pStyle w:val="Normal"/>
        <w:spacing w:lineRule="auto" w:line="240"/>
        <w:ind w:hanging="0" w:left="0" w:right="0"/>
        <w:jc w:val="both"/>
        <w:rPr>
          <w:sz w:val="20"/>
          <w:szCs w:val="20"/>
        </w:rPr>
      </w:pPr>
      <w:r>
        <w:rPr>
          <w:rFonts w:ascii="Verdana" w:hAnsi="Verdana"/>
          <w:iCs/>
          <w:sz w:val="20"/>
          <w:szCs w:val="20"/>
          <w:shd w:fill="auto" w:val="clear"/>
        </w:rPr>
        <w:t>9.3.3. As circunstâncias agravantes ou atenuantes.</w:t>
      </w:r>
    </w:p>
    <w:p>
      <w:pPr>
        <w:pStyle w:val="Normal"/>
        <w:spacing w:lineRule="auto" w:line="240"/>
        <w:ind w:hanging="0" w:left="0" w:right="0"/>
        <w:jc w:val="both"/>
        <w:rPr>
          <w:sz w:val="20"/>
          <w:szCs w:val="20"/>
        </w:rPr>
      </w:pPr>
      <w:r>
        <w:rPr>
          <w:rFonts w:ascii="Verdana" w:hAnsi="Verdana"/>
          <w:iCs/>
          <w:sz w:val="20"/>
          <w:szCs w:val="20"/>
          <w:shd w:fill="auto" w:val="clear"/>
        </w:rPr>
        <w:t>9.3.4. Os danos que dela provierem para a Administração Pública.</w:t>
      </w:r>
    </w:p>
    <w:p>
      <w:pPr>
        <w:pStyle w:val="Normal"/>
        <w:spacing w:lineRule="auto" w:line="240"/>
        <w:ind w:hanging="0" w:left="0" w:right="0"/>
        <w:jc w:val="both"/>
        <w:rPr>
          <w:sz w:val="20"/>
          <w:szCs w:val="20"/>
        </w:rPr>
      </w:pPr>
      <w:r>
        <w:rPr>
          <w:rFonts w:ascii="Verdana" w:hAnsi="Verdana"/>
          <w:iCs/>
          <w:sz w:val="20"/>
          <w:szCs w:val="20"/>
          <w:shd w:fill="auto" w:val="clear"/>
        </w:rPr>
        <w:t>9.3.5. A implantação ou o aperfeiçoamento de programa de integridade, conforme normas e orientações dos órgãos de controle.</w:t>
      </w:r>
    </w:p>
    <w:p>
      <w:pPr>
        <w:pStyle w:val="Normal"/>
        <w:spacing w:lineRule="auto" w:line="240"/>
        <w:ind w:hanging="0" w:left="0" w:right="0"/>
        <w:jc w:val="both"/>
        <w:rPr>
          <w:sz w:val="20"/>
          <w:szCs w:val="20"/>
        </w:rPr>
      </w:pPr>
      <w:r>
        <w:rPr>
          <w:rFonts w:ascii="Verdana" w:hAnsi="Verdana"/>
          <w:iCs/>
          <w:sz w:val="20"/>
          <w:szCs w:val="20"/>
          <w:shd w:fill="auto" w:val="clear"/>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hanging="0" w:left="0" w:right="0"/>
        <w:jc w:val="both"/>
        <w:rPr>
          <w:sz w:val="20"/>
          <w:szCs w:val="20"/>
        </w:rPr>
      </w:pPr>
      <w:r>
        <w:rPr>
          <w:rFonts w:ascii="Verdana" w:hAnsi="Verdana"/>
          <w:b w:val="false"/>
          <w:bCs w:val="false"/>
          <w:iCs/>
          <w:sz w:val="20"/>
          <w:szCs w:val="20"/>
          <w:shd w:fill="auto" w:val="clear"/>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hanging="0" w:left="0" w:right="0"/>
        <w:jc w:val="both"/>
        <w:rPr>
          <w:rFonts w:ascii="Verdana" w:hAnsi="Verdana"/>
          <w:sz w:val="20"/>
          <w:szCs w:val="20"/>
        </w:rPr>
      </w:pPr>
      <w:r>
        <w:rPr>
          <w:rFonts w:ascii="Verdana" w:hAnsi="Verdana"/>
          <w:sz w:val="20"/>
          <w:szCs w:val="20"/>
        </w:rPr>
      </w:r>
    </w:p>
    <w:p>
      <w:pPr>
        <w:pStyle w:val="Normal"/>
        <w:spacing w:lineRule="auto" w:line="240"/>
        <w:ind w:hanging="0" w:left="-79" w:right="0"/>
        <w:jc w:val="both"/>
        <w:rPr>
          <w:sz w:val="20"/>
          <w:szCs w:val="20"/>
        </w:rPr>
      </w:pPr>
      <w:r>
        <w:rPr>
          <w:rFonts w:ascii="Verdana" w:hAnsi="Verdana"/>
          <w:b/>
          <w:bCs/>
          <w:sz w:val="20"/>
          <w:szCs w:val="20"/>
          <w:lang w:eastAsia="en-US"/>
        </w:rPr>
        <w:t>10. DA HABILITAÇÃO</w:t>
      </w:r>
    </w:p>
    <w:p>
      <w:pPr>
        <w:pStyle w:val="Normal"/>
        <w:spacing w:lineRule="auto" w:line="240"/>
        <w:ind w:hanging="0" w:left="-79" w:right="0"/>
        <w:jc w:val="both"/>
        <w:rPr>
          <w:sz w:val="20"/>
          <w:szCs w:val="20"/>
        </w:rPr>
      </w:pPr>
      <w:r>
        <w:rPr>
          <w:rFonts w:cs="Verdana" w:ascii="Verdana" w:hAnsi="Verdana"/>
          <w:b w:val="false"/>
          <w:bCs w:val="false"/>
          <w:sz w:val="20"/>
          <w:szCs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sz w:val="20"/>
          <w:szCs w:val="20"/>
          <w:lang w:eastAsia="ar-SA"/>
        </w:rPr>
        <w:t>a) SICAF;</w:t>
      </w:r>
    </w:p>
    <w:p>
      <w:pPr>
        <w:pStyle w:val="ListParagraph"/>
        <w:spacing w:lineRule="auto" w:line="240" w:before="57" w:after="57"/>
        <w:ind w:hanging="0" w:left="0" w:right="0"/>
        <w:contextualSpacing w:val="false"/>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3">
        <w:r>
          <w:rPr>
            <w:rStyle w:val="Hyperlink"/>
            <w:rFonts w:cs="Verdana" w:ascii="Verdana" w:hAnsi="Verdana"/>
            <w:b w:val="false"/>
            <w:bCs w:val="false"/>
            <w:sz w:val="20"/>
            <w:szCs w:val="20"/>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240" w:before="57" w:after="57"/>
        <w:ind w:hanging="0" w:left="0" w:right="0"/>
        <w:contextualSpacing w:val="false"/>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4">
        <w:r>
          <w:rPr>
            <w:rStyle w:val="Hyperlink"/>
            <w:rFonts w:cs="Verdana" w:ascii="Verdana" w:hAnsi="Verdana"/>
            <w:b w:val="false"/>
            <w:bCs w:val="false"/>
            <w:sz w:val="20"/>
            <w:szCs w:val="20"/>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Hyperlink"/>
            <w:rFonts w:cs="Verdana" w:ascii="Verdana" w:hAnsi="Verdana"/>
            <w:b w:val="false"/>
            <w:bCs w:val="false"/>
            <w:sz w:val="20"/>
            <w:szCs w:val="20"/>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40" w:before="57" w:after="57"/>
        <w:jc w:val="both"/>
        <w:rPr/>
      </w:pPr>
      <w:r>
        <w:rPr>
          <w:rFonts w:cs="Verdana" w:ascii="Verdana" w:hAnsi="Verdana"/>
          <w:b w:val="false"/>
          <w:bCs w:val="false"/>
          <w:sz w:val="20"/>
          <w:szCs w:val="20"/>
          <w:lang w:eastAsia="ar-SA"/>
        </w:rPr>
        <w:t>10.1.1. Para a consulta de licitantes pessoa jurídica poderá haver a substituição das consultas das alíneas “b”, “c” e “d” acima pela Consulta Consolidada de Pessoa Jurídica do TCU (</w:t>
      </w:r>
      <w:hyperlink r:id="rId6">
        <w:r>
          <w:rPr>
            <w:rStyle w:val="Hyperlink"/>
            <w:rFonts w:cs="Verdana" w:ascii="Verdana" w:hAnsi="Verdana"/>
            <w:b w:val="false"/>
            <w:bCs w:val="false"/>
            <w:sz w:val="20"/>
            <w:szCs w:val="20"/>
            <w:lang w:eastAsia="ar-SA"/>
          </w:rPr>
          <w:t>https://certidoesapf.apps.tcu.gov.br/</w:t>
        </w:r>
      </w:hyperlink>
      <w:r>
        <w:rPr>
          <w:rFonts w:cs="Verdana" w:ascii="Verdana" w:hAnsi="Verdana"/>
          <w:b w:val="false"/>
          <w:bCs w:val="false"/>
          <w:sz w:val="20"/>
          <w:szCs w:val="20"/>
          <w:lang w:eastAsia="ar-SA"/>
        </w:rPr>
        <w:t>);</w:t>
      </w:r>
    </w:p>
    <w:p>
      <w:pPr>
        <w:pStyle w:val="Normal"/>
        <w:spacing w:lineRule="auto" w:line="240" w:before="57" w:after="57"/>
        <w:jc w:val="both"/>
        <w:rPr>
          <w:sz w:val="20"/>
          <w:szCs w:val="20"/>
        </w:rPr>
      </w:pPr>
      <w:r>
        <w:rPr>
          <w:rFonts w:cs="Verdana" w:ascii="Verdana" w:hAnsi="Verdana"/>
          <w:b w:val="false"/>
          <w:bCs w:val="false"/>
          <w:color w:val="000000"/>
          <w:sz w:val="20"/>
          <w:szCs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10.1.3.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10.1.4.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10.1.5. O licitante será convocado para manifestação previamente à sua desclassificação.</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10.1.6 .Constatada a existência de sanção, o Pregoeiro reputará o licitante inabilitado, por falta de condição de participação.</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10.1.7.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hanging="0" w:left="0" w:right="0"/>
        <w:contextualSpacing w:val="false"/>
        <w:jc w:val="both"/>
        <w:rPr>
          <w:sz w:val="20"/>
          <w:szCs w:val="20"/>
        </w:rPr>
      </w:pPr>
      <w:r>
        <w:rPr>
          <w:rFonts w:cs="Verdana" w:ascii="Verdana" w:hAnsi="Verdana"/>
          <w:b w:val="false"/>
          <w:bCs w:val="false"/>
          <w:sz w:val="20"/>
          <w:szCs w:val="20"/>
          <w:lang w:eastAsia="ar-SA"/>
        </w:rPr>
        <w:t xml:space="preserve">10.1.8.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sz w:val="20"/>
          <w:szCs w:val="20"/>
          <w:lang w:eastAsia="ar-SA"/>
        </w:rPr>
        <w:t>10.1.9.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10.1.10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10.1.11. O descu</w:t>
      </w:r>
      <w:r>
        <w:rPr>
          <w:rFonts w:cs="Verdana" w:ascii="Verdana" w:hAnsi="Verdana"/>
          <w:color w:val="000000"/>
          <w:sz w:val="20"/>
          <w:szCs w:val="20"/>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240" w:before="57" w:after="57"/>
        <w:ind w:hanging="0"/>
        <w:rPr>
          <w:sz w:val="20"/>
          <w:szCs w:val="20"/>
        </w:rPr>
      </w:pPr>
      <w:r>
        <w:rPr>
          <w:rFonts w:cs="Verdana" w:ascii="Verdana" w:hAnsi="Verdana"/>
          <w:b w:val="false"/>
          <w:bCs w:val="false"/>
          <w:color w:val="000000"/>
          <w:sz w:val="20"/>
          <w:szCs w:val="20"/>
        </w:rPr>
        <w:t>10.1.12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240" w:before="57" w:after="57"/>
        <w:ind w:hanging="0"/>
        <w:rPr>
          <w:sz w:val="20"/>
          <w:szCs w:val="20"/>
        </w:rPr>
      </w:pPr>
      <w:r>
        <w:rPr>
          <w:rFonts w:cs="Verdana" w:ascii="Verdana" w:hAnsi="Verdana"/>
          <w:b w:val="false"/>
          <w:bCs w:val="false"/>
          <w:sz w:val="20"/>
          <w:szCs w:val="20"/>
        </w:rPr>
        <w:t>10.1.13.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40" w:before="57" w:after="57"/>
        <w:ind w:hanging="0"/>
        <w:rPr>
          <w:sz w:val="20"/>
          <w:szCs w:val="20"/>
        </w:rPr>
      </w:pPr>
      <w:r>
        <w:rPr>
          <w:rFonts w:cs="Verdana" w:ascii="Verdana" w:hAnsi="Verdana"/>
          <w:b w:val="false"/>
          <w:bCs w:val="false"/>
          <w:sz w:val="20"/>
          <w:szCs w:val="20"/>
        </w:rPr>
        <w:t>10.1.14. Não serão aceitos documentos de habilitação com indicação de CNPJ/CPF diferentes, salvo aqueles legalmente permitidos.</w:t>
      </w:r>
    </w:p>
    <w:p>
      <w:pPr>
        <w:pStyle w:val="PADRO"/>
        <w:widowControl/>
        <w:tabs>
          <w:tab w:val="clear" w:pos="708"/>
          <w:tab w:val="left" w:pos="567" w:leader="none"/>
        </w:tabs>
        <w:spacing w:lineRule="auto" w:line="240" w:before="57" w:after="57"/>
        <w:ind w:hanging="0"/>
        <w:rPr>
          <w:sz w:val="20"/>
          <w:szCs w:val="20"/>
        </w:rPr>
      </w:pPr>
      <w:r>
        <w:rPr>
          <w:rFonts w:cs="Verdana" w:ascii="Verdana" w:hAnsi="Verdana"/>
          <w:b w:val="false"/>
          <w:bCs w:val="false"/>
          <w:sz w:val="20"/>
          <w:szCs w:val="20"/>
        </w:rPr>
        <w:t>10.1.15.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0" w:after="0"/>
        <w:ind w:hanging="0"/>
        <w:rPr>
          <w:sz w:val="20"/>
          <w:szCs w:val="20"/>
        </w:rPr>
      </w:pPr>
      <w:r>
        <w:rPr>
          <w:rFonts w:cs="Verdana" w:ascii="Verdana" w:hAnsi="Verdana"/>
          <w:b w:val="false"/>
          <w:bCs w:val="false"/>
          <w:color w:val="000000"/>
          <w:sz w:val="20"/>
          <w:szCs w:val="20"/>
        </w:rPr>
        <w:t>10.1.16</w:t>
      </w:r>
      <w:r>
        <w:rPr>
          <w:rFonts w:cs="Verdana" w:ascii="Verdana" w:hAnsi="Verdana"/>
          <w:color w:val="000000"/>
          <w:sz w:val="20"/>
          <w:szCs w:val="20"/>
        </w:rPr>
        <w:t xml:space="preserve"> Ressalvado o disposto no item 5.3, os licitantes deverão encaminhar, nos termos deste Edital, a documentação relacionada nos itens a seguir, para fins de habilitação:</w:t>
      </w:r>
    </w:p>
    <w:p>
      <w:pPr>
        <w:pStyle w:val="PADRO"/>
        <w:widowControl/>
        <w:tabs>
          <w:tab w:val="clear" w:pos="708"/>
          <w:tab w:val="left" w:pos="567" w:leader="none"/>
        </w:tabs>
        <w:spacing w:lineRule="auto" w:line="240" w:before="0" w:after="0"/>
        <w:ind w:hanging="0"/>
        <w:rPr>
          <w:rFonts w:ascii="Verdana" w:hAnsi="Verdana"/>
          <w:sz w:val="20"/>
          <w:szCs w:val="20"/>
        </w:rPr>
      </w:pPr>
      <w:r>
        <w:rPr>
          <w:rFonts w:ascii="Verdana" w:hAnsi="Verdana"/>
          <w:sz w:val="20"/>
          <w:szCs w:val="20"/>
        </w:rPr>
      </w:r>
    </w:p>
    <w:p>
      <w:pPr>
        <w:pStyle w:val="ListParagraph"/>
        <w:spacing w:lineRule="auto" w:line="240" w:before="57" w:after="57"/>
        <w:ind w:hanging="0" w:left="0" w:right="0"/>
        <w:contextualSpacing w:val="false"/>
        <w:jc w:val="both"/>
        <w:rPr>
          <w:sz w:val="20"/>
          <w:szCs w:val="20"/>
        </w:rPr>
      </w:pPr>
      <w:r>
        <w:rPr>
          <w:rFonts w:cs="Verdana" w:ascii="Verdana" w:hAnsi="Verdana"/>
          <w:b/>
          <w:bCs/>
          <w:color w:val="000000"/>
          <w:sz w:val="20"/>
          <w:szCs w:val="20"/>
        </w:rPr>
        <w:tab/>
        <w:t>10.2 Habilitação jurídica:</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10.2.1 No caso de empresário individual: inscrição no Registro Público de Empresas Mercantis, a cargo da Junta Comercial da respectiva sede;</w:t>
      </w:r>
    </w:p>
    <w:p>
      <w:pPr>
        <w:pStyle w:val="ListParagraph"/>
        <w:spacing w:lineRule="auto" w:line="240" w:before="57" w:after="57"/>
        <w:ind w:hanging="0" w:left="0" w:right="0"/>
        <w:contextualSpacing w:val="false"/>
        <w:jc w:val="both"/>
        <w:rPr/>
      </w:pPr>
      <w:r>
        <w:rPr>
          <w:rFonts w:cs="Verdana" w:ascii="Verdana" w:hAnsi="Verdana"/>
          <w:b w:val="false"/>
          <w:bCs w:val="false"/>
          <w:color w:val="000000"/>
          <w:sz w:val="20"/>
          <w:szCs w:val="20"/>
        </w:rPr>
        <w:t xml:space="preserve">10.2.2 Em se tratando de microempreendedor individual – MEI: Certificado da Condição de Microempreendedor Individual – CCMEI, cuja aceitação ficará condicionada à verificação da autenticidade no sítio </w:t>
      </w:r>
      <w:hyperlink r:id="rId7">
        <w:r>
          <w:rPr>
            <w:rStyle w:val="Hyperlink"/>
            <w:rFonts w:cs="Verdana" w:ascii="Verdana" w:hAnsi="Verdana"/>
            <w:b w:val="false"/>
            <w:bCs w:val="false"/>
            <w:color w:val="000000"/>
            <w:sz w:val="20"/>
            <w:szCs w:val="20"/>
          </w:rPr>
          <w:t>www.portaldoempreendedor.gov.br</w:t>
        </w:r>
      </w:hyperlink>
      <w:r>
        <w:rPr>
          <w:rFonts w:cs="Verdana" w:ascii="Verdana" w:hAnsi="Verdana"/>
          <w:b w:val="false"/>
          <w:bCs w:val="false"/>
          <w:color w:val="000000"/>
          <w:sz w:val="20"/>
          <w:szCs w:val="20"/>
        </w:rPr>
        <w:t>;</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10.2.4 Inscrição no Registro Público de Empresas Mercantis onde opera, com averbação no Registro onde tem sede a matriz, no caso de ser o participante sucursal, filial ou agência;</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10.2.6</w:t>
      </w:r>
      <w:r>
        <w:rPr>
          <w:rFonts w:cs="Verdana" w:ascii="Verdana" w:hAnsi="Verdana"/>
          <w:b/>
          <w:bCs/>
          <w:color w:val="000000"/>
          <w:sz w:val="20"/>
          <w:szCs w:val="20"/>
        </w:rPr>
        <w:t xml:space="preserve"> </w:t>
      </w:r>
      <w:r>
        <w:rPr>
          <w:rFonts w:cs="Verdana"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10.2.7 No caso de empresa ou sociedade estrangeira em funcionamento no País: decreto de autorização;</w:t>
      </w:r>
    </w:p>
    <w:p>
      <w:pPr>
        <w:pStyle w:val="ListParagraph"/>
        <w:spacing w:lineRule="auto" w:line="240" w:before="0" w:after="0"/>
        <w:ind w:hanging="0" w:left="0" w:right="0"/>
        <w:contextualSpacing w:val="false"/>
        <w:jc w:val="both"/>
        <w:rPr>
          <w:sz w:val="20"/>
          <w:szCs w:val="20"/>
        </w:rPr>
      </w:pPr>
      <w:r>
        <w:rPr>
          <w:rFonts w:cs="Verdana" w:ascii="Verdana" w:hAnsi="Verdana"/>
          <w:b w:val="false"/>
          <w:bCs w:val="false"/>
          <w:color w:val="000000"/>
          <w:sz w:val="20"/>
          <w:szCs w:val="20"/>
        </w:rPr>
        <w:t>10.2.8 Os documentos acima deverão estar acompanhados de todas as alterações ou da c</w:t>
      </w:r>
      <w:r>
        <w:rPr>
          <w:rFonts w:cs="Verdana" w:ascii="Verdana" w:hAnsi="Verdana"/>
          <w:bCs/>
          <w:color w:val="000000"/>
          <w:sz w:val="20"/>
          <w:szCs w:val="20"/>
        </w:rPr>
        <w:t>onsolidação respectiva;</w:t>
      </w:r>
    </w:p>
    <w:p>
      <w:pPr>
        <w:pStyle w:val="ListParagraph"/>
        <w:spacing w:lineRule="auto" w:line="240" w:before="0" w:after="0"/>
        <w:ind w:hanging="0" w:left="0" w:right="0"/>
        <w:contextualSpacing w:val="false"/>
        <w:jc w:val="both"/>
        <w:rPr>
          <w:rFonts w:ascii="Verdana" w:hAnsi="Verdana" w:cs="Verdana"/>
          <w:bCs/>
          <w:color w:val="000000"/>
          <w:sz w:val="20"/>
          <w:szCs w:val="20"/>
        </w:rPr>
      </w:pPr>
      <w:r>
        <w:rPr>
          <w:rFonts w:cs="Verdana" w:ascii="Verdana" w:hAnsi="Verdana"/>
          <w:bCs/>
          <w:color w:val="000000"/>
          <w:sz w:val="20"/>
          <w:szCs w:val="20"/>
        </w:rPr>
      </w:r>
    </w:p>
    <w:p>
      <w:pPr>
        <w:pStyle w:val="ListParagraph"/>
        <w:spacing w:lineRule="auto" w:line="240" w:before="57" w:after="57"/>
        <w:ind w:hanging="0" w:left="0" w:right="0"/>
        <w:contextualSpacing w:val="false"/>
        <w:jc w:val="both"/>
        <w:rPr>
          <w:sz w:val="20"/>
          <w:szCs w:val="20"/>
        </w:rPr>
      </w:pPr>
      <w:r>
        <w:rPr>
          <w:rFonts w:cs="Verdana" w:ascii="Verdana" w:hAnsi="Verdana"/>
          <w:b/>
          <w:bCs/>
          <w:color w:val="000000"/>
          <w:sz w:val="20"/>
          <w:szCs w:val="20"/>
        </w:rPr>
        <w:tab/>
        <w:t xml:space="preserve">10.3.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napToGrid w:val="false"/>
        <w:spacing w:lineRule="auto" w:line="240" w:before="57" w:after="57"/>
        <w:jc w:val="both"/>
        <w:rPr>
          <w:sz w:val="20"/>
          <w:szCs w:val="20"/>
        </w:rPr>
      </w:pPr>
      <w:r>
        <w:rPr>
          <w:rFonts w:cs="Verdana" w:ascii="Verdana" w:hAnsi="Verdana"/>
          <w:b w:val="false"/>
          <w:bCs w:val="false"/>
          <w:sz w:val="20"/>
          <w:szCs w:val="20"/>
          <w:lang w:eastAsia="en-US"/>
        </w:rPr>
        <w:t>10.3.1 Prova de inscrição no Cadastro Nacional de Pessoas Jurídicas ou no Cadastro de Pessoas Físicas, conforme o caso;</w:t>
      </w:r>
    </w:p>
    <w:p>
      <w:pPr>
        <w:pStyle w:val="Normal"/>
        <w:snapToGrid w:val="false"/>
        <w:spacing w:lineRule="auto" w:line="240" w:before="57" w:after="57"/>
        <w:jc w:val="both"/>
        <w:rPr>
          <w:sz w:val="20"/>
          <w:szCs w:val="20"/>
        </w:rPr>
      </w:pPr>
      <w:r>
        <w:rPr>
          <w:rFonts w:cs="Verdana" w:ascii="Verdana" w:hAnsi="Verdana"/>
          <w:b w:val="false"/>
          <w:bCs w:val="false"/>
          <w:sz w:val="20"/>
          <w:szCs w:val="20"/>
          <w:lang w:eastAsia="en-US"/>
        </w:rPr>
        <w:t>10.3.2 Certidão de regularidade junto à fazenda pública Municipal, do domicílio do Licitante;</w:t>
      </w:r>
    </w:p>
    <w:p>
      <w:pPr>
        <w:pStyle w:val="Normal"/>
        <w:snapToGrid w:val="false"/>
        <w:spacing w:lineRule="auto" w:line="240" w:before="57" w:after="57"/>
        <w:jc w:val="both"/>
        <w:rPr>
          <w:sz w:val="20"/>
          <w:szCs w:val="20"/>
        </w:rPr>
      </w:pPr>
      <w:r>
        <w:rPr>
          <w:rFonts w:cs="Verdana" w:ascii="Verdana" w:hAnsi="Verdana"/>
          <w:b w:val="false"/>
          <w:bCs w:val="false"/>
          <w:sz w:val="20"/>
          <w:szCs w:val="20"/>
        </w:rPr>
        <w:t>10.3.3 Certidão de regularidade junto à fazenda pública Estadual, do domicílio do Licitante;</w:t>
      </w:r>
    </w:p>
    <w:p>
      <w:pPr>
        <w:pStyle w:val="Normal"/>
        <w:snapToGrid w:val="false"/>
        <w:spacing w:lineRule="auto" w:line="240" w:before="57" w:after="57"/>
        <w:jc w:val="both"/>
        <w:rPr>
          <w:sz w:val="20"/>
          <w:szCs w:val="20"/>
        </w:rPr>
      </w:pPr>
      <w:r>
        <w:rPr>
          <w:rFonts w:cs="Verdana" w:ascii="Verdana" w:hAnsi="Verdana"/>
          <w:b w:val="false"/>
          <w:bCs w:val="false"/>
          <w:sz w:val="20"/>
          <w:szCs w:val="20"/>
        </w:rPr>
        <w:t>10.3.4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40" w:before="57" w:after="57"/>
        <w:jc w:val="both"/>
        <w:rPr>
          <w:sz w:val="20"/>
          <w:szCs w:val="20"/>
        </w:rPr>
      </w:pPr>
      <w:r>
        <w:rPr>
          <w:rFonts w:cs="Verdana" w:ascii="Verdana" w:hAnsi="Verdana"/>
          <w:b w:val="false"/>
          <w:bCs w:val="false"/>
          <w:sz w:val="20"/>
          <w:szCs w:val="20"/>
        </w:rPr>
        <w:t>10.3.5 Certidão de regularidade junto ao FGTS;</w:t>
      </w:r>
    </w:p>
    <w:p>
      <w:pPr>
        <w:pStyle w:val="Normal"/>
        <w:snapToGrid w:val="false"/>
        <w:spacing w:lineRule="auto" w:line="240" w:before="57" w:after="57"/>
        <w:jc w:val="both"/>
        <w:rPr>
          <w:sz w:val="20"/>
          <w:szCs w:val="20"/>
        </w:rPr>
      </w:pPr>
      <w:r>
        <w:rPr>
          <w:rFonts w:cs="Verdana" w:ascii="Verdana" w:hAnsi="Verdana"/>
          <w:b w:val="false"/>
          <w:bCs w:val="false"/>
          <w:sz w:val="20"/>
          <w:szCs w:val="20"/>
          <w:lang w:eastAsia="en-US"/>
        </w:rPr>
        <w:t>10.3.6 Certidão Negativa De Débitos Trabalhistas (CNDT) de acordo com a Lei 12440 de 7 de julho de 2011.</w:t>
      </w:r>
    </w:p>
    <w:p>
      <w:pPr>
        <w:pStyle w:val="Normal"/>
        <w:snapToGrid w:val="false"/>
        <w:spacing w:lineRule="auto" w:line="240" w:before="0" w:after="0"/>
        <w:jc w:val="both"/>
        <w:rPr>
          <w:sz w:val="20"/>
          <w:szCs w:val="20"/>
        </w:rPr>
      </w:pPr>
      <w:r>
        <w:rPr>
          <w:rFonts w:cs="Verdana" w:ascii="Verdana" w:hAnsi="Verdana"/>
          <w:b w:val="false"/>
          <w:bCs w:val="false"/>
          <w:color w:val="000000"/>
          <w:sz w:val="20"/>
          <w:szCs w:val="20"/>
          <w:lang w:eastAsia="en-US" w:bidi="pt-BR"/>
        </w:rPr>
        <w:t xml:space="preserve">10.3.7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 compr</w:t>
      </w:r>
      <w:r>
        <w:rPr>
          <w:rFonts w:cs="Verdana" w:ascii="Verdana" w:hAnsi="Verdana"/>
          <w:color w:val="000000"/>
          <w:sz w:val="20"/>
          <w:szCs w:val="20"/>
          <w:lang w:eastAsia="en-US"/>
        </w:rPr>
        <w:t>ovação de regularidade fiscal, mesmo que esta apresente alguma restrição, sob pena de inabilitação.</w:t>
      </w:r>
    </w:p>
    <w:p>
      <w:pPr>
        <w:pStyle w:val="Normal"/>
        <w:snapToGrid w:val="false"/>
        <w:spacing w:lineRule="auto" w:line="240" w:before="0" w:after="0"/>
        <w:jc w:val="both"/>
        <w:rPr>
          <w:rFonts w:ascii="Verdana" w:hAnsi="Verdana" w:cs="Verdana"/>
          <w:color w:val="000000"/>
          <w:sz w:val="20"/>
          <w:szCs w:val="20"/>
          <w:lang w:eastAsia="en-US"/>
        </w:rPr>
      </w:pPr>
      <w:r>
        <w:rPr>
          <w:rFonts w:cs="Verdana" w:ascii="Verdana" w:hAnsi="Verdana"/>
          <w:color w:val="000000"/>
          <w:sz w:val="20"/>
          <w:szCs w:val="20"/>
          <w:lang w:eastAsia="en-US"/>
        </w:rPr>
      </w:r>
    </w:p>
    <w:p>
      <w:pPr>
        <w:pStyle w:val="ListParagraph"/>
        <w:spacing w:lineRule="auto" w:line="240" w:before="57" w:after="57"/>
        <w:ind w:hanging="0" w:left="0" w:right="0"/>
        <w:contextualSpacing w:val="false"/>
        <w:jc w:val="both"/>
        <w:rPr>
          <w:sz w:val="20"/>
          <w:szCs w:val="20"/>
        </w:rPr>
      </w:pPr>
      <w:r>
        <w:rPr>
          <w:rFonts w:cs="Verdana" w:ascii="Verdana" w:hAnsi="Verdana"/>
          <w:b/>
          <w:color w:val="000000"/>
          <w:sz w:val="20"/>
          <w:szCs w:val="20"/>
        </w:rPr>
        <w:tab/>
        <w:t>10.4 Qualificação Econômico-Financeira</w:t>
      </w:r>
      <w:r>
        <w:rPr>
          <w:rFonts w:cs="Verdana" w:ascii="Verdana" w:hAnsi="Verdana"/>
          <w:color w:val="000000"/>
          <w:sz w:val="20"/>
          <w:szCs w:val="20"/>
        </w:rPr>
        <w:t>.</w:t>
      </w:r>
    </w:p>
    <w:p>
      <w:pPr>
        <w:pStyle w:val="Normal"/>
        <w:tabs>
          <w:tab w:val="clear" w:pos="708"/>
          <w:tab w:val="left" w:pos="850" w:leader="none"/>
        </w:tabs>
        <w:snapToGrid w:val="false"/>
        <w:spacing w:lineRule="auto" w:line="240" w:before="57" w:after="57"/>
        <w:jc w:val="both"/>
        <w:rPr>
          <w:sz w:val="20"/>
          <w:szCs w:val="20"/>
        </w:rPr>
      </w:pPr>
      <w:r>
        <w:rPr>
          <w:rFonts w:cs="Verdana" w:ascii="Verdana" w:hAnsi="Verdana"/>
          <w:b w:val="false"/>
          <w:bCs w:val="false"/>
          <w:color w:val="000000"/>
          <w:sz w:val="20"/>
          <w:szCs w:val="20"/>
          <w:u w:val="none"/>
        </w:rPr>
        <w:t>10.4.1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napToGrid w:val="false"/>
        <w:spacing w:lineRule="auto" w:line="240" w:before="57" w:after="57"/>
        <w:jc w:val="both"/>
        <w:rPr>
          <w:sz w:val="20"/>
          <w:szCs w:val="20"/>
        </w:rPr>
      </w:pPr>
      <w:r>
        <w:rPr>
          <w:rFonts w:cs="Verdana" w:ascii="Verdana" w:hAnsi="Verdana"/>
          <w:b w:val="false"/>
          <w:bCs w:val="false"/>
          <w:color w:val="000000"/>
          <w:sz w:val="20"/>
          <w:szCs w:val="20"/>
          <w:u w:val="none"/>
        </w:rPr>
        <w:t>10.4.2 Havendo algum prazo de validade estabelecido por cartório na certidão citada na letra anterior, será considerado o prazo constante da certidão para comprovação da sua validade.</w:t>
      </w:r>
    </w:p>
    <w:p>
      <w:pPr>
        <w:pStyle w:val="Normal"/>
        <w:widowControl/>
        <w:tabs>
          <w:tab w:val="clear" w:pos="708"/>
          <w:tab w:val="left" w:pos="850" w:leader="none"/>
        </w:tabs>
        <w:suppressAutoHyphens w:val="true"/>
        <w:bidi w:val="0"/>
        <w:snapToGrid w:val="false"/>
        <w:spacing w:lineRule="auto" w:line="240" w:before="57" w:after="57"/>
        <w:ind w:hanging="0" w:left="-57" w:right="0"/>
        <w:jc w:val="both"/>
        <w:rPr>
          <w:sz w:val="20"/>
          <w:szCs w:val="20"/>
        </w:rPr>
      </w:pPr>
      <w:r>
        <w:rPr>
          <w:rFonts w:cs="Verdana" w:ascii="Verdana" w:hAnsi="Verdana"/>
          <w:b w:val="false"/>
          <w:bCs w:val="false"/>
          <w:sz w:val="20"/>
          <w:szCs w:val="20"/>
          <w:u w:val="none"/>
        </w:rPr>
        <w:t>10.4.3 Para a contagem do prazo estabelecido na letra “a” deste capítulo, será contado a partir do primeiro dia que antecede a data da realização desta dispensa de licitação.</w:t>
      </w:r>
    </w:p>
    <w:p>
      <w:pPr>
        <w:pStyle w:val="Normal"/>
        <w:tabs>
          <w:tab w:val="clear" w:pos="708"/>
          <w:tab w:val="left" w:pos="850" w:leader="none"/>
        </w:tabs>
        <w:snapToGrid w:val="false"/>
        <w:spacing w:lineRule="auto" w:line="240" w:before="0" w:after="0"/>
        <w:ind w:hanging="0" w:left="-79" w:right="0"/>
        <w:jc w:val="both"/>
        <w:rPr>
          <w:sz w:val="20"/>
          <w:szCs w:val="20"/>
        </w:rPr>
      </w:pPr>
      <w:r>
        <w:rPr>
          <w:rFonts w:cs="Verdana" w:ascii="Verdana" w:hAnsi="Verdana"/>
          <w:b w:val="false"/>
          <w:bCs w:val="false"/>
          <w:iCs/>
          <w:color w:val="000000"/>
          <w:sz w:val="20"/>
          <w:szCs w:val="20"/>
          <w:u w:val="none"/>
          <w:shd w:fill="auto" w:val="clear"/>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40" w:before="0" w:after="0"/>
        <w:ind w:hanging="0" w:left="-79" w:right="0"/>
        <w:jc w:val="both"/>
        <w:rPr>
          <w:rFonts w:ascii="Verdana" w:hAnsi="Verdana" w:cs="Verdana"/>
          <w:b w:val="false"/>
          <w:bCs w:val="false"/>
          <w:iCs/>
          <w:color w:val="000000"/>
          <w:sz w:val="20"/>
          <w:szCs w:val="20"/>
          <w:u w:val="none"/>
          <w:shd w:fill="auto" w:val="clear"/>
          <w:lang w:eastAsia="en-US"/>
        </w:rPr>
      </w:pPr>
      <w:r>
        <w:rPr>
          <w:rFonts w:cs="Verdana" w:ascii="Verdana" w:hAnsi="Verdana"/>
          <w:b w:val="false"/>
          <w:bCs w:val="false"/>
          <w:iCs/>
          <w:color w:val="000000"/>
          <w:sz w:val="20"/>
          <w:szCs w:val="20"/>
          <w:u w:val="none"/>
          <w:shd w:fill="auto" w:val="clear"/>
          <w:lang w:eastAsia="en-US"/>
        </w:rPr>
      </w:r>
    </w:p>
    <w:p>
      <w:pPr>
        <w:pStyle w:val="Normal"/>
        <w:suppressAutoHyphens w:val="false"/>
        <w:spacing w:lineRule="auto" w:line="240"/>
        <w:jc w:val="both"/>
        <w:rPr>
          <w:sz w:val="20"/>
          <w:szCs w:val="20"/>
        </w:rPr>
      </w:pPr>
      <w:r>
        <w:rPr>
          <w:rFonts w:cs="Arial" w:ascii="Verdana" w:hAnsi="Verdana"/>
          <w:b/>
          <w:sz w:val="20"/>
          <w:szCs w:val="20"/>
        </w:rPr>
        <w:t>11. RESULTADOS PRETENDIDOS COM A CONTRATAÇÃO</w:t>
      </w:r>
    </w:p>
    <w:p>
      <w:pPr>
        <w:pStyle w:val="Normal"/>
        <w:spacing w:lineRule="auto" w:line="240"/>
        <w:jc w:val="both"/>
        <w:rPr>
          <w:sz w:val="20"/>
          <w:szCs w:val="20"/>
        </w:rPr>
      </w:pPr>
      <w:r>
        <w:rPr>
          <w:rFonts w:cs="Arial" w:ascii="Verdana" w:hAnsi="Verdana"/>
          <w:b w:val="false"/>
          <w:bCs w:val="false"/>
          <w:sz w:val="20"/>
          <w:szCs w:val="20"/>
        </w:rPr>
        <w:t>11.1 Com a aquisição, buscaremos atender as demandas escolares e da Secretaria Municipal de Educação, visando a premiação dos estudantes destaque nas avaliações de desempenho estudantil do governo são exames em larga escala realizados pelo Inep/MEC para diagnosticar a qualidade do ensino e as competências adquiridas e garantir um bom atendimento e realização de eventos pedagógicos dos estudantes com estruturas de cobertura móvel para proteção física de alunos, professores e comunidade escolar.</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jc w:val="both"/>
        <w:rPr>
          <w:sz w:val="20"/>
          <w:szCs w:val="20"/>
        </w:rPr>
      </w:pPr>
      <w:r>
        <w:rPr>
          <w:rFonts w:cs="Arial" w:ascii="Verdana" w:hAnsi="Verdana"/>
          <w:b/>
          <w:sz w:val="20"/>
          <w:szCs w:val="20"/>
        </w:rPr>
        <w:t>12. PROVIDÊNCIAS A SEREM ADOTADAS</w:t>
      </w:r>
    </w:p>
    <w:p>
      <w:pPr>
        <w:pStyle w:val="Normal"/>
        <w:spacing w:lineRule="auto" w:line="240"/>
        <w:jc w:val="both"/>
        <w:rPr>
          <w:sz w:val="20"/>
          <w:szCs w:val="20"/>
        </w:rPr>
      </w:pPr>
      <w:r>
        <w:rPr>
          <w:rFonts w:cs="Arial" w:ascii="Verdana" w:hAnsi="Verdana"/>
          <w:b w:val="false"/>
          <w:bCs w:val="false"/>
          <w:sz w:val="20"/>
          <w:szCs w:val="20"/>
        </w:rPr>
        <w:t>12.1. A Secretaria Municipal de Educação deverá acompanhar, fiscalizar, comprovar e relatar, por escrito, as eventuais irregularidades na entrega dos equipamentos.</w:t>
      </w:r>
    </w:p>
    <w:p>
      <w:pPr>
        <w:pStyle w:val="Normal"/>
        <w:spacing w:lineRule="auto" w:line="240"/>
        <w:jc w:val="both"/>
        <w:rPr>
          <w:rFonts w:ascii="Verdana" w:hAnsi="Verdana" w:cs="Arial"/>
          <w:sz w:val="20"/>
          <w:szCs w:val="20"/>
        </w:rPr>
      </w:pPr>
      <w:r>
        <w:rPr>
          <w:rFonts w:cs="Arial" w:ascii="Verdana" w:hAnsi="Verdana"/>
          <w:sz w:val="20"/>
          <w:szCs w:val="20"/>
        </w:rPr>
      </w:r>
    </w:p>
    <w:p>
      <w:pPr>
        <w:pStyle w:val="Normal"/>
        <w:spacing w:lineRule="auto" w:line="240"/>
        <w:jc w:val="both"/>
        <w:rPr>
          <w:sz w:val="20"/>
          <w:szCs w:val="20"/>
        </w:rPr>
      </w:pPr>
      <w:r>
        <w:rPr>
          <w:rFonts w:cs="Arial" w:ascii="Verdana" w:hAnsi="Verdana"/>
          <w:b/>
          <w:sz w:val="20"/>
          <w:szCs w:val="20"/>
        </w:rPr>
        <w:tab/>
        <w:t>12.2 Descontinuidades do Fornecimento</w:t>
      </w:r>
    </w:p>
    <w:p>
      <w:pPr>
        <w:pStyle w:val="Normal"/>
        <w:spacing w:lineRule="auto" w:line="240"/>
        <w:jc w:val="both"/>
        <w:rPr>
          <w:sz w:val="20"/>
          <w:szCs w:val="20"/>
        </w:rPr>
      </w:pPr>
      <w:r>
        <w:rPr>
          <w:rFonts w:cs="Arial" w:ascii="Verdana" w:hAnsi="Verdana"/>
          <w:b w:val="false"/>
          <w:bCs w:val="false"/>
          <w:sz w:val="20"/>
          <w:szCs w:val="20"/>
        </w:rPr>
        <w:t>12.2.1. No ca</w:t>
      </w:r>
      <w:r>
        <w:rPr>
          <w:rFonts w:cs="Arial" w:ascii="Verdana" w:hAnsi="Verdana"/>
          <w:sz w:val="20"/>
          <w:szCs w:val="20"/>
        </w:rPr>
        <w:t>so de desistência ou itens que não forem entregues, por parte da contratada, o gestor do contrato tomará as providências cabíveis, de acordo com cláusulas do edital e contrato.</w:t>
      </w:r>
    </w:p>
    <w:p>
      <w:pPr>
        <w:pStyle w:val="Normal"/>
        <w:spacing w:lineRule="auto" w:line="24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jc w:val="both"/>
        <w:rPr>
          <w:sz w:val="20"/>
          <w:szCs w:val="20"/>
        </w:rPr>
      </w:pPr>
      <w:r>
        <w:rPr>
          <w:rFonts w:cs="Arial" w:ascii="Verdana" w:hAnsi="Verdana"/>
          <w:b/>
          <w:sz w:val="20"/>
          <w:szCs w:val="20"/>
        </w:rPr>
        <w:t>13. POSSÍVEIS IMPACTOS AMBIENTAIS</w:t>
      </w:r>
    </w:p>
    <w:p>
      <w:pPr>
        <w:pStyle w:val="Normal"/>
        <w:spacing w:lineRule="auto" w:line="240"/>
        <w:jc w:val="both"/>
        <w:rPr>
          <w:sz w:val="20"/>
          <w:szCs w:val="20"/>
        </w:rPr>
      </w:pPr>
      <w:r>
        <w:rPr>
          <w:rFonts w:cs="Arial" w:ascii="Verdana" w:hAnsi="Verdana"/>
          <w:sz w:val="20"/>
          <w:szCs w:val="20"/>
        </w:rPr>
        <w:t>13.1. Não haverá danos ao meio ambiente</w:t>
      </w:r>
      <w:r>
        <w:rPr>
          <w:rFonts w:cs="Arial" w:ascii="Verdana" w:hAnsi="Verdana"/>
          <w:b/>
          <w:sz w:val="20"/>
          <w:szCs w:val="20"/>
        </w:rPr>
        <w:t>.</w:t>
      </w:r>
    </w:p>
    <w:p>
      <w:pPr>
        <w:pStyle w:val="Normal"/>
        <w:spacing w:lineRule="auto" w:line="240"/>
        <w:jc w:val="both"/>
        <w:rPr>
          <w:rFonts w:ascii="Verdana" w:hAnsi="Verdana" w:cs="Arial"/>
          <w:b/>
          <w:sz w:val="20"/>
          <w:szCs w:val="20"/>
        </w:rPr>
      </w:pPr>
      <w:r>
        <w:rPr>
          <w:rFonts w:cs="Arial" w:ascii="Verdana" w:hAnsi="Verdana"/>
          <w:b/>
          <w:sz w:val="20"/>
          <w:szCs w:val="20"/>
        </w:rPr>
      </w:r>
    </w:p>
    <w:p>
      <w:pPr>
        <w:pStyle w:val="normal3"/>
        <w:spacing w:lineRule="auto" w:line="240" w:before="0" w:after="0"/>
        <w:jc w:val="both"/>
        <w:rPr>
          <w:sz w:val="20"/>
          <w:szCs w:val="20"/>
        </w:rPr>
      </w:pPr>
      <w:r>
        <w:rPr>
          <w:rFonts w:ascii="Verdana" w:hAnsi="Verdana"/>
          <w:b/>
          <w:bCs/>
          <w:sz w:val="20"/>
          <w:szCs w:val="20"/>
        </w:rPr>
        <w:t>14. CONTRATAÇÕES CORRELATAS E/OU INTERDEPENDENTES</w:t>
      </w:r>
    </w:p>
    <w:p>
      <w:pPr>
        <w:pStyle w:val="normal3"/>
        <w:widowControl/>
        <w:spacing w:lineRule="auto" w:line="240" w:before="0" w:after="0"/>
        <w:ind w:hanging="0" w:left="0" w:right="0"/>
        <w:jc w:val="both"/>
        <w:rPr>
          <w:sz w:val="20"/>
          <w:szCs w:val="20"/>
        </w:rPr>
      </w:pPr>
      <w:r>
        <w:rPr>
          <w:rFonts w:ascii="Verdana" w:hAnsi="Verdana"/>
          <w:b w:val="false"/>
          <w:bCs w:val="false"/>
          <w:sz w:val="20"/>
          <w:szCs w:val="20"/>
        </w:rPr>
        <w:t>14.1. Nã</w:t>
      </w:r>
      <w:r>
        <w:rPr>
          <w:rFonts w:ascii="Verdana" w:hAnsi="Verdana"/>
          <w:sz w:val="20"/>
          <w:szCs w:val="20"/>
        </w:rPr>
        <w:t>o se verificam contratações correlatas ou interdependentes para a viabilidade e contratação desta demanda.</w:t>
      </w:r>
    </w:p>
    <w:p>
      <w:pPr>
        <w:pStyle w:val="normal3"/>
        <w:spacing w:lineRule="auto" w:line="240" w:before="0" w:after="0"/>
        <w:jc w:val="both"/>
        <w:rPr>
          <w:rFonts w:ascii="Verdana" w:hAnsi="Verdana"/>
          <w:sz w:val="20"/>
          <w:szCs w:val="20"/>
        </w:rPr>
      </w:pPr>
      <w:r>
        <w:rPr>
          <w:rFonts w:ascii="Verdana" w:hAnsi="Verdana"/>
          <w:sz w:val="20"/>
          <w:szCs w:val="20"/>
        </w:rPr>
      </w:r>
    </w:p>
    <w:p>
      <w:pPr>
        <w:pStyle w:val="normal3"/>
        <w:spacing w:lineRule="auto" w:line="240" w:before="0" w:after="0"/>
        <w:jc w:val="both"/>
        <w:rPr>
          <w:sz w:val="20"/>
          <w:szCs w:val="20"/>
        </w:rPr>
      </w:pPr>
      <w:r>
        <w:rPr>
          <w:rFonts w:ascii="Verdana" w:hAnsi="Verdana"/>
          <w:b/>
          <w:bCs/>
          <w:sz w:val="20"/>
          <w:szCs w:val="20"/>
        </w:rPr>
        <w:t>15. DECLARAÇÃO E JUSTIFICATIVA DA VIABILIDADE</w:t>
      </w:r>
    </w:p>
    <w:p>
      <w:pPr>
        <w:pStyle w:val="normal3"/>
        <w:spacing w:lineRule="auto" w:line="240" w:before="0" w:after="0"/>
        <w:jc w:val="both"/>
        <w:rPr>
          <w:sz w:val="20"/>
          <w:szCs w:val="20"/>
        </w:rPr>
      </w:pPr>
      <w:r>
        <w:rPr>
          <w:rFonts w:ascii="Verdana" w:hAnsi="Verdana"/>
          <w:b w:val="false"/>
          <w:bCs w:val="false"/>
          <w:sz w:val="20"/>
          <w:szCs w:val="20"/>
        </w:rPr>
        <w:t>15.1. Considerando que a Secretaria de Educação realiza o Evento de Premiação anual dos estudantes destaques nas avaliações de desempenho estudantil do Inep/MEC tais como (Saeb (Sistema de Avaliação da Educação Básica, PAEBES), e a premiação escolar é uma estratégia eficaz para engajar estudantes, validando a superação (evolução pessoal) e oferecer também estruturas de cobertura móvel para proteção física de alunos, professores e comunidade escolar.</w:t>
      </w:r>
    </w:p>
    <w:p>
      <w:pPr>
        <w:pStyle w:val="normal3"/>
        <w:spacing w:lineRule="auto" w:line="240" w:before="0" w:after="0"/>
        <w:jc w:val="both"/>
        <w:rPr>
          <w:sz w:val="20"/>
          <w:szCs w:val="20"/>
        </w:rPr>
      </w:pPr>
      <w:r>
        <w:rPr>
          <w:rFonts w:ascii="Verdana" w:hAnsi="Verdana"/>
          <w:b w:val="false"/>
          <w:bCs w:val="false"/>
          <w:sz w:val="20"/>
          <w:szCs w:val="20"/>
        </w:rPr>
        <w:t>15.2. Considerando ainda que os resultados das provas externas (como o SAEB) e o IDEB (Índice de Desenvolvimento da Educação Básica) são essenciais para diagnosticar a qualidade do ensino e orientar políticas públicas, e que funcionam como um termômetro que direciona a alocação de recursos financeiros, conectando os resultados do aprendizado aos investimentos nas escolas.</w:t>
      </w:r>
    </w:p>
    <w:p>
      <w:pPr>
        <w:pStyle w:val="Normal"/>
        <w:spacing w:lineRule="auto" w:line="240"/>
        <w:jc w:val="both"/>
        <w:rPr>
          <w:rFonts w:ascii="Verdana" w:hAnsi="Verdana" w:cs="Arial"/>
          <w:sz w:val="20"/>
          <w:szCs w:val="20"/>
        </w:rPr>
      </w:pPr>
      <w:r>
        <w:rPr>
          <w:rFonts w:cs="Arial" w:ascii="Verdana" w:hAnsi="Verdana"/>
          <w:sz w:val="20"/>
          <w:szCs w:val="20"/>
        </w:rPr>
      </w:r>
    </w:p>
    <w:p>
      <w:pPr>
        <w:pStyle w:val="Normal"/>
        <w:spacing w:lineRule="auto" w:line="240"/>
        <w:jc w:val="both"/>
        <w:rPr>
          <w:rFonts w:ascii="Verdana" w:hAnsi="Verdana" w:cs="Arial"/>
          <w:sz w:val="20"/>
          <w:szCs w:val="20"/>
        </w:rPr>
      </w:pPr>
      <w:r>
        <w:rPr>
          <w:rFonts w:cs="Arial" w:ascii="Verdana" w:hAnsi="Verdana"/>
          <w:sz w:val="20"/>
          <w:szCs w:val="20"/>
        </w:rPr>
      </w:r>
    </w:p>
    <w:p>
      <w:pPr>
        <w:pStyle w:val="Normal"/>
        <w:spacing w:lineRule="auto" w:line="240"/>
        <w:ind w:hanging="0" w:left="0" w:right="0"/>
        <w:jc w:val="both"/>
        <w:rPr>
          <w:sz w:val="20"/>
          <w:szCs w:val="20"/>
        </w:rPr>
      </w:pPr>
      <w:r>
        <w:rPr>
          <w:rFonts w:ascii="Verdana" w:hAnsi="Verdana"/>
          <w:b/>
          <w:bCs/>
          <w:sz w:val="20"/>
          <w:szCs w:val="20"/>
        </w:rPr>
        <w:t xml:space="preserve">16. ADEQUAÇÃO ORÇAMENTÁRIA </w:t>
      </w:r>
    </w:p>
    <w:p>
      <w:pPr>
        <w:pStyle w:val="Normal"/>
        <w:spacing w:lineRule="auto" w:line="240"/>
        <w:ind w:hanging="0" w:left="0" w:right="0"/>
        <w:jc w:val="both"/>
        <w:rPr>
          <w:sz w:val="20"/>
          <w:szCs w:val="20"/>
        </w:rPr>
      </w:pPr>
      <w:r>
        <w:rPr>
          <w:rFonts w:ascii="Verdana" w:hAnsi="Verdana"/>
          <w:sz w:val="20"/>
          <w:szCs w:val="20"/>
        </w:rPr>
        <w:t>16.1.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sz w:val="20"/>
          <w:szCs w:val="20"/>
        </w:rPr>
      </w:pPr>
      <w:r>
        <w:rPr>
          <w:rFonts w:ascii="Verdana" w:hAnsi="Verdana"/>
          <w:sz w:val="20"/>
          <w:szCs w:val="20"/>
        </w:rPr>
        <w:t>FICHA – FONTE: 00622-1542</w:t>
      </w:r>
      <w:r>
        <w:rPr>
          <w:rFonts w:eastAsia="Times New Roman" w:cs="Times New Roman" w:ascii="Verdana" w:hAnsi="Verdana"/>
          <w:color w:val="auto"/>
          <w:kern w:val="0"/>
          <w:sz w:val="20"/>
          <w:szCs w:val="20"/>
          <w:lang w:val="pt-BR" w:eastAsia="pt-BR" w:bidi="ar-SA"/>
        </w:rPr>
        <w:t>0030000, no valor de R$ 90.000,00 (noventa mil reais).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sz w:val="20"/>
          <w:szCs w:val="20"/>
        </w:rPr>
      </w:pPr>
      <w:r>
        <w:rPr>
          <w:rFonts w:cs="Arial" w:ascii="Verdana" w:hAnsi="Verdana"/>
          <w:b/>
          <w:bCs/>
          <w:color w:val="000000"/>
          <w:sz w:val="20"/>
          <w:szCs w:val="20"/>
        </w:rPr>
        <w:t>17. DOS RESPONSÁVEIS PELA ELABORAÇÃO DO TERMO DE REFERÊNCIA</w:t>
      </w:r>
    </w:p>
    <w:p>
      <w:pPr>
        <w:pStyle w:val="Normal"/>
        <w:spacing w:lineRule="auto" w:line="240"/>
        <w:jc w:val="both"/>
        <w:rPr>
          <w:sz w:val="20"/>
          <w:szCs w:val="20"/>
        </w:rPr>
      </w:pPr>
      <w:r>
        <w:rPr>
          <w:rFonts w:cs="Arial" w:ascii="Verdana" w:hAnsi="Verdana"/>
          <w:b w:val="false"/>
          <w:bCs w:val="false"/>
          <w:color w:val="000000"/>
          <w:sz w:val="20"/>
          <w:szCs w:val="20"/>
        </w:rPr>
        <w:t>17.1. A compilação d</w:t>
      </w:r>
      <w:r>
        <w:rPr>
          <w:rFonts w:eastAsia="Times New Roman" w:cs="Arial" w:ascii="Verdana" w:hAnsi="Verdana"/>
          <w:b w:val="false"/>
          <w:bCs w:val="false"/>
          <w:color w:val="000000"/>
          <w:kern w:val="0"/>
          <w:sz w:val="20"/>
          <w:szCs w:val="20"/>
          <w:lang w:val="pt-BR" w:eastAsia="pt-BR" w:bidi="ar-SA"/>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kern w:val="0"/>
          <w:sz w:val="20"/>
          <w:szCs w:val="20"/>
          <w:lang w:val="pt-BR" w:eastAsia="pt-BR" w:bidi="ar-SA"/>
        </w:rPr>
        <w:t>na</w:t>
      </w:r>
      <w:r>
        <w:rPr>
          <w:rFonts w:cs="Arial" w:ascii="Verdana" w:hAnsi="Verdana"/>
          <w:b w:val="false"/>
          <w:bCs w:val="false"/>
          <w:color w:val="000000"/>
          <w:sz w:val="20"/>
          <w:szCs w:val="20"/>
        </w:rPr>
        <w:t xml:space="preserve"> elaboração deste Termo de Referência foram estruturadas através do ETP – Estudo Técnico Preliminar e DFD – Documento Formalizador de Demanda elaborado pela secretaria requisitante.</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right"/>
        <w:rPr>
          <w:sz w:val="20"/>
          <w:szCs w:val="20"/>
        </w:rPr>
      </w:pPr>
      <w:r>
        <w:rPr>
          <w:rFonts w:ascii="Verdana" w:hAnsi="Verdana"/>
          <w:sz w:val="20"/>
          <w:szCs w:val="20"/>
          <w:shd w:fill="auto" w:val="clear"/>
        </w:rPr>
        <w:t>São Gabriel da Palha, 21 de</w:t>
      </w:r>
      <w:r>
        <w:rPr>
          <w:rFonts w:eastAsia="Times New Roman" w:cs="Times New Roman" w:ascii="Verdana" w:hAnsi="Verdana"/>
          <w:color w:val="000000"/>
          <w:kern w:val="0"/>
          <w:sz w:val="20"/>
          <w:szCs w:val="20"/>
          <w:shd w:fill="auto" w:val="clear"/>
          <w:lang w:val="pt-BR" w:eastAsia="pt-BR" w:bidi="ar-SA"/>
        </w:rPr>
        <w:t xml:space="preserve"> julho </w:t>
      </w:r>
      <w:r>
        <w:rPr>
          <w:rFonts w:ascii="Verdana" w:hAnsi="Verdana"/>
          <w:sz w:val="20"/>
          <w:szCs w:val="20"/>
          <w:shd w:fill="auto" w:val="clear"/>
        </w:rPr>
        <w:t>de 2026</w:t>
      </w:r>
    </w:p>
    <w:p>
      <w:pPr>
        <w:pStyle w:val="Normal"/>
        <w:spacing w:lineRule="auto" w:line="240"/>
        <w:jc w:val="right"/>
        <w:rPr>
          <w:rFonts w:ascii="Verdana" w:hAnsi="Verdana" w:cs="Arial"/>
          <w:b/>
          <w:bCs/>
          <w:sz w:val="20"/>
          <w:szCs w:val="20"/>
        </w:rPr>
      </w:pPr>
      <w:r>
        <w:rPr>
          <w:rFonts w:cs="Arial" w:ascii="Verdana" w:hAnsi="Verdana"/>
          <w:b/>
          <w:bCs/>
          <w:sz w:val="20"/>
          <w:szCs w:val="20"/>
        </w:rPr>
      </w:r>
    </w:p>
    <w:p>
      <w:pPr>
        <w:pStyle w:val="Normal"/>
        <w:spacing w:lineRule="auto" w:line="240"/>
        <w:jc w:val="both"/>
        <w:rPr>
          <w:sz w:val="20"/>
          <w:szCs w:val="20"/>
        </w:rPr>
      </w:pPr>
      <w:bookmarkStart w:id="0" w:name="_GoBack1"/>
      <w:bookmarkStart w:id="1" w:name="_GoBack"/>
      <w:bookmarkEnd w:id="0"/>
      <w:bookmarkEnd w:id="1"/>
      <w:r>
        <w:rPr>
          <w:rFonts w:cs="Arial" w:ascii="Verdana" w:hAnsi="Verdana"/>
          <w:b/>
          <w:bCs/>
          <w:sz w:val="20"/>
          <w:szCs w:val="20"/>
        </w:rPr>
        <w:t>Elaborado por:</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left"/>
        <w:rPr>
          <w:sz w:val="20"/>
          <w:szCs w:val="20"/>
        </w:rPr>
      </w:pPr>
      <w:r>
        <w:rPr>
          <w:rFonts w:cs="Arial" w:ascii="Verdana" w:hAnsi="Verdana"/>
          <w:b w:val="false"/>
          <w:bCs w:val="false"/>
          <w:sz w:val="20"/>
          <w:szCs w:val="20"/>
          <w:u w:val="none"/>
        </w:rPr>
        <w:t>ANDRESSA LINHARES MARTINS</w:t>
      </w:r>
    </w:p>
    <w:p>
      <w:pPr>
        <w:pStyle w:val="Normal"/>
        <w:spacing w:lineRule="auto" w:line="240"/>
        <w:jc w:val="left"/>
        <w:rPr>
          <w:sz w:val="20"/>
          <w:szCs w:val="20"/>
        </w:rPr>
      </w:pPr>
      <w:r>
        <w:rPr>
          <w:rFonts w:cs="Arial" w:ascii="Verdana" w:hAnsi="Verdana"/>
          <w:b w:val="false"/>
          <w:bCs w:val="false"/>
          <w:sz w:val="20"/>
          <w:szCs w:val="20"/>
          <w:u w:val="none"/>
        </w:rPr>
        <w:t>Agente de Serviços Técnicos -  Decreto nº 6.080/2026</w:t>
      </w:r>
    </w:p>
    <w:p>
      <w:pPr>
        <w:pStyle w:val="Normal"/>
        <w:spacing w:lineRule="auto" w:line="240"/>
        <w:jc w:val="left"/>
        <w:rPr>
          <w:sz w:val="20"/>
          <w:szCs w:val="20"/>
        </w:rPr>
      </w:pPr>
      <w:r>
        <w:rPr>
          <w:rFonts w:cs="Arial" w:ascii="Verdana" w:hAnsi="Verdana"/>
          <w:b w:val="false"/>
          <w:bCs w:val="false"/>
          <w:sz w:val="20"/>
          <w:szCs w:val="20"/>
          <w:u w:val="none"/>
        </w:rPr>
        <w:t>Mat. nº 009838</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rPr>
          <w:sz w:val="20"/>
          <w:szCs w:val="20"/>
        </w:rPr>
      </w:pPr>
      <w:r>
        <w:rPr>
          <w:rFonts w:ascii="Verdana" w:hAnsi="Verdana"/>
          <w:sz w:val="20"/>
          <w:szCs w:val="20"/>
        </w:rPr>
        <w:t>RODOLFO ANTÔNIO DA SILVA NETO</w:t>
      </w:r>
    </w:p>
    <w:p>
      <w:pPr>
        <w:pStyle w:val="Normal"/>
        <w:spacing w:lineRule="auto" w:line="240"/>
        <w:rPr>
          <w:sz w:val="20"/>
          <w:szCs w:val="20"/>
        </w:rPr>
      </w:pPr>
      <w:r>
        <w:rPr>
          <w:rFonts w:ascii="Verdana" w:hAnsi="Verdana"/>
          <w:sz w:val="20"/>
          <w:szCs w:val="20"/>
        </w:rPr>
        <w:t>Agente de Serviços Técnicos – Portaria n° 9.965/2025</w:t>
      </w:r>
    </w:p>
    <w:p>
      <w:pPr>
        <w:pStyle w:val="Normal"/>
        <w:spacing w:lineRule="auto" w:line="240"/>
        <w:jc w:val="both"/>
        <w:rPr>
          <w:sz w:val="20"/>
          <w:szCs w:val="20"/>
        </w:rPr>
      </w:pPr>
      <w:r>
        <w:rPr>
          <w:rFonts w:cs="Arial" w:ascii="Verdana" w:hAnsi="Verdana"/>
          <w:b w:val="false"/>
          <w:bCs w:val="false"/>
          <w:sz w:val="20"/>
          <w:szCs w:val="20"/>
        </w:rPr>
        <w:t>Mat. nº 000406</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cs="Arial"/>
          <w:b w:val="false"/>
          <w:bCs w:val="false"/>
          <w:color w:val="000000"/>
          <w:sz w:val="20"/>
          <w:szCs w:val="20"/>
          <w:u w:val="none"/>
        </w:rPr>
      </w:pPr>
      <w:r>
        <w:rPr>
          <w:rFonts w:cs="Arial" w:ascii="Verdana" w:hAnsi="Verdana"/>
          <w:b w:val="false"/>
          <w:bCs w:val="false"/>
          <w:color w:val="000000"/>
          <w:sz w:val="20"/>
          <w:szCs w:val="20"/>
          <w:u w:val="none"/>
        </w:rPr>
      </w:r>
    </w:p>
    <w:p>
      <w:pPr>
        <w:pStyle w:val="Normal"/>
        <w:spacing w:lineRule="auto" w:line="240"/>
        <w:jc w:val="both"/>
        <w:rPr>
          <w:rFonts w:ascii="Verdana" w:hAnsi="Verdana" w:cs="Arial"/>
          <w:b w:val="false"/>
          <w:bCs w:val="false"/>
          <w:color w:val="000000"/>
          <w:sz w:val="20"/>
          <w:szCs w:val="20"/>
          <w:u w:val="none"/>
        </w:rPr>
      </w:pPr>
      <w:r>
        <w:rPr>
          <w:rFonts w:cs="Arial" w:ascii="Verdana" w:hAnsi="Verdana"/>
          <w:b w:val="false"/>
          <w:bCs w:val="false"/>
          <w:color w:val="000000"/>
          <w:sz w:val="20"/>
          <w:szCs w:val="20"/>
          <w:u w:val="none"/>
        </w:rPr>
      </w:r>
    </w:p>
    <w:p>
      <w:pPr>
        <w:pStyle w:val="Normal"/>
        <w:spacing w:lineRule="auto" w:line="240"/>
        <w:jc w:val="both"/>
        <w:rPr>
          <w:rFonts w:ascii="Verdana" w:hAnsi="Verdana" w:cs="Arial"/>
          <w:b w:val="false"/>
          <w:bCs w:val="false"/>
          <w:color w:val="000000"/>
          <w:sz w:val="20"/>
          <w:szCs w:val="20"/>
          <w:u w:val="none"/>
        </w:rPr>
      </w:pPr>
      <w:r>
        <w:rPr>
          <w:rFonts w:cs="Arial" w:ascii="Verdana" w:hAnsi="Verdana"/>
          <w:b w:val="false"/>
          <w:bCs w:val="false"/>
          <w:color w:val="000000"/>
          <w:sz w:val="20"/>
          <w:szCs w:val="20"/>
          <w:u w:val="none"/>
        </w:rPr>
      </w:r>
    </w:p>
    <w:p>
      <w:pPr>
        <w:pStyle w:val="Normal"/>
        <w:spacing w:lineRule="auto" w:line="240"/>
        <w:jc w:val="both"/>
        <w:rPr>
          <w:sz w:val="20"/>
          <w:szCs w:val="20"/>
        </w:rPr>
      </w:pPr>
      <w:r>
        <w:rPr>
          <w:rFonts w:cs="Arial" w:ascii="Verdana" w:hAnsi="Verdana"/>
          <w:b w:val="false"/>
          <w:bCs w:val="false"/>
          <w:sz w:val="20"/>
          <w:szCs w:val="20"/>
        </w:rPr>
        <w:t>RUTH BARBARA DA SILWA NASCIMENTO</w:t>
      </w:r>
    </w:p>
    <w:p>
      <w:pPr>
        <w:pStyle w:val="Normal"/>
        <w:spacing w:lineRule="auto" w:line="240"/>
        <w:jc w:val="both"/>
        <w:rPr>
          <w:sz w:val="20"/>
          <w:szCs w:val="20"/>
        </w:rPr>
      </w:pPr>
      <w:r>
        <w:rPr>
          <w:rFonts w:cs="Arial" w:ascii="Verdana" w:hAnsi="Verdana"/>
          <w:b w:val="false"/>
          <w:bCs w:val="false"/>
          <w:sz w:val="20"/>
          <w:szCs w:val="20"/>
        </w:rPr>
        <w:t>Agente de Serviços Técnicos - Decreto n° 4.816/2025.</w:t>
      </w:r>
    </w:p>
    <w:p>
      <w:pPr>
        <w:pStyle w:val="Normal"/>
        <w:spacing w:lineRule="auto" w:line="240"/>
        <w:jc w:val="both"/>
        <w:rPr>
          <w:sz w:val="20"/>
          <w:szCs w:val="20"/>
        </w:rPr>
      </w:pPr>
      <w:bookmarkStart w:id="2" w:name="art122%252525252525252525252525252525252"/>
      <w:bookmarkEnd w:id="2"/>
      <w:r>
        <w:rPr>
          <w:rFonts w:cs="Arial" w:ascii="Verdana" w:hAnsi="Verdana"/>
          <w:b w:val="false"/>
          <w:bCs w:val="false"/>
          <w:sz w:val="20"/>
          <w:szCs w:val="20"/>
        </w:rPr>
        <w:t>Mat. nº 002983</w:t>
      </w:r>
      <w:bookmarkStart w:id="3" w:name="art122%252525252525252525252525252525251"/>
      <w:bookmarkEnd w:id="3"/>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0">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9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paragraph" w:styleId="Heading2">
    <w:name w:val="Heading 2"/>
    <w:basedOn w:val="LO-normal"/>
    <w:next w:val="LO-normal"/>
    <w:qFormat/>
    <w:pPr>
      <w:keepNext w:val="true"/>
      <w:keepLines/>
      <w:spacing w:lineRule="auto" w:line="360" w:before="240" w:after="240"/>
      <w:jc w:val="both"/>
    </w:pPr>
    <w:rPr>
      <w:b/>
    </w:rPr>
  </w:style>
  <w:style w:type="paragraph" w:styleId="Heading3">
    <w:name w:val="Heading 3"/>
    <w:basedOn w:val="LO-normal"/>
    <w:next w:val="LO-normal"/>
    <w:qFormat/>
    <w:pPr>
      <w:keepNext w:val="true"/>
      <w:keepLines/>
    </w:pPr>
    <w:rPr>
      <w:i/>
    </w:rPr>
  </w:style>
  <w:style w:type="paragraph" w:styleId="Heading4">
    <w:name w:val="Heading 4"/>
    <w:basedOn w:val="Ttulo"/>
    <w:next w:val="BodyText"/>
    <w:qFormat/>
    <w:pPr>
      <w:numPr>
        <w:ilvl w:val="3"/>
        <w:numId w:val="1"/>
      </w:numPr>
      <w:spacing w:before="120" w:after="120"/>
      <w:outlineLvl w:val="3"/>
    </w:pPr>
    <w:rPr>
      <w:b/>
      <w:bCs/>
      <w:i/>
      <w:iCs/>
      <w:sz w:val="26"/>
      <w:szCs w:val="26"/>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Hyperlink">
    <w:name w:val="Hyperlink"/>
    <w:qFormat/>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character" w:styleId="WW8Num2z0">
    <w:name w:val="WW8Num2z0"/>
    <w:qFormat/>
    <w:rPr>
      <w:rFonts w:ascii="Arial" w:hAnsi="Arial" w:eastAsia="Batang" w:cs="Arial"/>
      <w:b/>
      <w:i w:val="false"/>
      <w:sz w:val="24"/>
      <w:szCs w:val="24"/>
      <w:u w:val="none"/>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Cabealhoerodap13">
    <w:name w:val="Cabeçalho e rodapé13"/>
    <w:basedOn w:val="Normal"/>
    <w:qFormat/>
    <w:pPr/>
    <w:rPr/>
  </w:style>
  <w:style w:type="paragraph" w:styleId="Cabealhoerodap14">
    <w:name w:val="Cabeçalho e rodapé14"/>
    <w:basedOn w:val="Normal"/>
    <w:qFormat/>
    <w:pPr/>
    <w:rPr/>
  </w:style>
  <w:style w:type="paragraph" w:styleId="Cabealhoerodap15">
    <w:name w:val="Cabeçalho e rodapé15"/>
    <w:basedOn w:val="Normal"/>
    <w:qFormat/>
    <w:pPr/>
    <w:rPr/>
  </w:style>
  <w:style w:type="paragraph" w:styleId="Cabealhoerodap16">
    <w:name w:val="Cabeçalho e rodapé16"/>
    <w:basedOn w:val="Normal"/>
    <w:qFormat/>
    <w:pPr/>
    <w:rPr/>
  </w:style>
  <w:style w:type="paragraph" w:styleId="Cabealhoerodap17">
    <w:name w:val="Cabeçalho e rodapé17"/>
    <w:basedOn w:val="Normal"/>
    <w:qFormat/>
    <w:pPr/>
    <w:rPr/>
  </w:style>
  <w:style w:type="paragraph" w:styleId="Cabealhoerodap18">
    <w:name w:val="Cabeçalho e rodapé18"/>
    <w:basedOn w:val="Normal"/>
    <w:qFormat/>
    <w:pPr/>
    <w:rPr/>
  </w:style>
  <w:style w:type="paragraph" w:styleId="Cabealhoerodap19">
    <w:name w:val="Cabeçalho e rodapé19"/>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widowControl w:val="false"/>
      <w:suppressLineNumbers/>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name w:val="WW-Texto simples"/>
    <w:basedOn w:val="Normal"/>
    <w:qFormat/>
    <w:pPr/>
    <w:rPr>
      <w:rFonts w:ascii="Courier New" w:hAnsi="Courier New" w:cs="Courier New"/>
      <w:sz w:val="20"/>
    </w:rPr>
  </w:style>
  <w:style w:type="paragraph" w:styleId="Contedodoquadro">
    <w:name w:val="Conteúdo do quadro"/>
    <w:basedOn w:val="Normal"/>
    <w:qFormat/>
    <w:pPr/>
    <w:rPr/>
  </w:style>
  <w:style w:type="paragraph" w:styleId="caption4">
    <w:name w:val="caption4"/>
    <w:basedOn w:val="Normal"/>
    <w:qFormat/>
    <w:pPr>
      <w:suppressLineNumbers/>
      <w:spacing w:before="120" w:after="120"/>
    </w:pPr>
    <w:rPr>
      <w:rFonts w:cs="Lucida Sans"/>
      <w:i/>
      <w:iCs/>
      <w:szCs w:val="24"/>
    </w:rPr>
  </w:style>
  <w:style w:type="paragraph" w:styleId="Padro1">
    <w:name w:val="Padrão"/>
    <w:qFormat/>
    <w:pPr>
      <w:widowControl/>
      <w:tabs>
        <w:tab w:val="left" w:pos="708" w:leader="none"/>
      </w:tabs>
      <w:suppressAutoHyphens w:val="true"/>
      <w:overflowPunct w:val="fals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normal3">
    <w:name w:val="normal3"/>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ormal2">
    <w:name w:val="normal2"/>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890</TotalTime>
  <Application>LibreOffice/24.2.7.2$Windows_X86_64 LibreOffice_project/ee3885777aa7032db5a9b65deec9457448a91162</Application>
  <AppVersion>15.0000</AppVersion>
  <Pages>9</Pages>
  <Words>4217</Words>
  <Characters>24554</Characters>
  <CharactersWithSpaces>28686</CharactersWithSpaces>
  <Paragraphs>219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2025-08-04T15:21:14Z</cp:lastPrinted>
  <dcterms:modified xsi:type="dcterms:W3CDTF">2026-07-23T16:08:53Z</dcterms:modified>
  <cp:revision>163</cp:revision>
  <dc:subject/>
  <dc:title/>
</cp:coreProperties>
</file>

<file path=docProps/custom.xml><?xml version="1.0" encoding="utf-8"?>
<Properties xmlns="http://schemas.openxmlformats.org/officeDocument/2006/custom-properties" xmlns:vt="http://schemas.openxmlformats.org/officeDocument/2006/docPropsVTypes"/>
</file>